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7EC88" w14:textId="3A876621" w:rsidR="003B416E" w:rsidRPr="001077B0" w:rsidRDefault="005945D0" w:rsidP="003B416E">
      <w:pPr>
        <w:pStyle w:val="Title"/>
      </w:pPr>
      <w:r w:rsidRPr="001077B0">
        <w:t>China-</w:t>
      </w:r>
      <w:r w:rsidR="00166021" w:rsidRPr="001077B0">
        <w:t>Iran</w:t>
      </w:r>
      <w:r w:rsidRPr="001077B0">
        <w:t xml:space="preserve"> Fact</w:t>
      </w:r>
      <w:r w:rsidR="00970D99" w:rsidRPr="001077B0">
        <w:t xml:space="preserve"> S</w:t>
      </w:r>
      <w:r w:rsidRPr="001077B0">
        <w:t>heet</w:t>
      </w:r>
    </w:p>
    <w:p w14:paraId="586A3755" w14:textId="46946F07" w:rsidR="009B77F1" w:rsidRPr="001077B0" w:rsidRDefault="009B77F1" w:rsidP="009B77F1">
      <w:pPr>
        <w:pStyle w:val="Subtitle"/>
      </w:pPr>
      <w:bookmarkStart w:id="0" w:name="_Hlk218791921"/>
      <w:r w:rsidRPr="001077B0">
        <w:t>A Short Primer on the Relationship</w:t>
      </w:r>
    </w:p>
    <w:bookmarkEnd w:id="0"/>
    <w:p w14:paraId="2DFD203C" w14:textId="77777777" w:rsidR="009A21DD" w:rsidRPr="001077B0" w:rsidRDefault="009A21DD" w:rsidP="00C149F0">
      <w:pPr>
        <w:pStyle w:val="Author"/>
        <w:sectPr w:rsidR="009A21DD" w:rsidRPr="001077B0" w:rsidSect="0018464A">
          <w:headerReference w:type="default" r:id="rId8"/>
          <w:footerReference w:type="default" r:id="rId9"/>
          <w:headerReference w:type="first" r:id="rId10"/>
          <w:footerReference w:type="first" r:id="rId11"/>
          <w:footnotePr>
            <w:numFmt w:val="chicago"/>
          </w:footnotePr>
          <w:endnotePr>
            <w:numFmt w:val="decimal"/>
          </w:endnotePr>
          <w:pgSz w:w="12240" w:h="15840"/>
          <w:pgMar w:top="1987" w:right="1080" w:bottom="1267" w:left="1080" w:header="720" w:footer="900" w:gutter="0"/>
          <w:cols w:space="720"/>
          <w:titlePg/>
          <w:docGrid w:linePitch="360"/>
          <w15:footnoteColumns w:val="1"/>
        </w:sectPr>
      </w:pPr>
    </w:p>
    <w:p w14:paraId="12AE7953" w14:textId="77777777" w:rsidR="00C149F0" w:rsidRPr="001077B0" w:rsidRDefault="00C149F0" w:rsidP="00C149F0">
      <w:pPr>
        <w:pStyle w:val="Author"/>
      </w:pPr>
      <w:r w:rsidRPr="001077B0">
        <w:t xml:space="preserve">Graham Ayres, </w:t>
      </w:r>
      <w:r w:rsidRPr="001077B0">
        <w:rPr>
          <w:rStyle w:val="AuthorAffiliation"/>
        </w:rPr>
        <w:t>Policy Analyst, Economics and Trade</w:t>
      </w:r>
    </w:p>
    <w:p w14:paraId="68524635" w14:textId="45A17623" w:rsidR="00C458DA" w:rsidRPr="001077B0" w:rsidRDefault="00C458DA" w:rsidP="003B416E">
      <w:pPr>
        <w:pStyle w:val="Author"/>
        <w:rPr>
          <w:b w:val="0"/>
          <w:bCs/>
          <w:i/>
          <w:iCs w:val="0"/>
        </w:rPr>
      </w:pPr>
      <w:r w:rsidRPr="001077B0">
        <w:t xml:space="preserve">Rachael Burton, </w:t>
      </w:r>
      <w:r w:rsidR="009A21DD" w:rsidRPr="001077B0">
        <w:rPr>
          <w:b w:val="0"/>
          <w:bCs/>
          <w:i/>
          <w:iCs w:val="0"/>
        </w:rPr>
        <w:t>Research Manager, Security and Foreign Affairs</w:t>
      </w:r>
    </w:p>
    <w:p w14:paraId="0818662C" w14:textId="49E16E53" w:rsidR="003B416E" w:rsidRPr="001077B0" w:rsidRDefault="005945D0" w:rsidP="003B416E">
      <w:pPr>
        <w:pStyle w:val="Author"/>
      </w:pPr>
      <w:r w:rsidRPr="001077B0">
        <w:t>Joseph Federici</w:t>
      </w:r>
      <w:r w:rsidR="003B416E" w:rsidRPr="001077B0">
        <w:t xml:space="preserve">, </w:t>
      </w:r>
      <w:r w:rsidRPr="001077B0">
        <w:rPr>
          <w:rStyle w:val="AuthorAffiliation"/>
        </w:rPr>
        <w:t>Senior Policy Analyst, Security and Foreign Affairs</w:t>
      </w:r>
    </w:p>
    <w:p w14:paraId="2B144EAC" w14:textId="67D6987B" w:rsidR="003B416E" w:rsidRPr="001077B0" w:rsidRDefault="005945D0" w:rsidP="003B416E">
      <w:pPr>
        <w:pStyle w:val="Author"/>
        <w:rPr>
          <w:rStyle w:val="AuthorAffiliation"/>
        </w:rPr>
      </w:pPr>
      <w:r w:rsidRPr="001077B0">
        <w:t>Nicole Morget</w:t>
      </w:r>
      <w:r w:rsidR="003B416E" w:rsidRPr="001077B0">
        <w:t xml:space="preserve">, </w:t>
      </w:r>
      <w:r w:rsidRPr="001077B0">
        <w:rPr>
          <w:rStyle w:val="AuthorAffiliation"/>
        </w:rPr>
        <w:t>Policy Analyst, Security and Foreign Affairs</w:t>
      </w:r>
    </w:p>
    <w:p w14:paraId="71E431F9" w14:textId="4DAED294" w:rsidR="00C149F0" w:rsidRPr="001077B0" w:rsidRDefault="00C149F0" w:rsidP="00C149F0">
      <w:pPr>
        <w:pStyle w:val="BodyText"/>
      </w:pPr>
      <w:r w:rsidRPr="001077B0">
        <w:rPr>
          <w:b/>
          <w:bCs/>
        </w:rPr>
        <w:t>Lyndi Tsering,</w:t>
      </w:r>
      <w:r w:rsidRPr="001077B0">
        <w:t xml:space="preserve"> </w:t>
      </w:r>
      <w:r w:rsidRPr="001077B0">
        <w:rPr>
          <w:rStyle w:val="AuthorAffiliation"/>
          <w:rFonts w:eastAsiaTheme="minorEastAsia"/>
          <w:b w:val="0"/>
          <w:bCs w:val="0"/>
        </w:rPr>
        <w:t>Policy Analyst, Security and Foreign Affairs</w:t>
      </w:r>
    </w:p>
    <w:p w14:paraId="414B609F" w14:textId="5AF6AAAA" w:rsidR="009A21DD" w:rsidRPr="001077B0" w:rsidRDefault="00021BBE" w:rsidP="003B416E">
      <w:pPr>
        <w:pStyle w:val="Date"/>
      </w:pPr>
      <w:r w:rsidRPr="001077B0">
        <w:rPr>
          <w:noProof/>
        </w:rPr>
        <mc:AlternateContent>
          <mc:Choice Requires="wps">
            <w:drawing>
              <wp:anchor distT="0" distB="457200" distL="0" distR="0" simplePos="0" relativeHeight="251659264" behindDoc="1" locked="0" layoutInCell="1" allowOverlap="0" wp14:anchorId="69C99671" wp14:editId="3494A314">
                <wp:simplePos x="0" y="0"/>
                <wp:positionH relativeFrom="margin">
                  <wp:posOffset>0</wp:posOffset>
                </wp:positionH>
                <wp:positionV relativeFrom="paragraph">
                  <wp:posOffset>220980</wp:posOffset>
                </wp:positionV>
                <wp:extent cx="6400800" cy="3922776"/>
                <wp:effectExtent l="0" t="0" r="0" b="2540"/>
                <wp:wrapTopAndBottom/>
                <wp:docPr id="1409861452" name="Text Box 4"/>
                <wp:cNvGraphicFramePr/>
                <a:graphic xmlns:a="http://schemas.openxmlformats.org/drawingml/2006/main">
                  <a:graphicData uri="http://schemas.microsoft.com/office/word/2010/wordprocessingShape">
                    <wps:wsp>
                      <wps:cNvSpPr txBox="1"/>
                      <wps:spPr>
                        <a:xfrm>
                          <a:off x="0" y="0"/>
                          <a:ext cx="6400800" cy="3922776"/>
                        </a:xfrm>
                        <a:prstGeom prst="rect">
                          <a:avLst/>
                        </a:prstGeom>
                        <a:solidFill>
                          <a:srgbClr val="E8ECF1"/>
                        </a:solidFill>
                        <a:ln w="6350">
                          <a:noFill/>
                        </a:ln>
                      </wps:spPr>
                      <wps:txbx>
                        <w:txbxContent>
                          <w:p w14:paraId="4010EA56" w14:textId="1EEE42EC" w:rsidR="00021BBE" w:rsidRPr="001077B0" w:rsidRDefault="00021BBE" w:rsidP="00021BBE">
                            <w:pPr>
                              <w:pStyle w:val="KeyFindingsHeading"/>
                            </w:pPr>
                            <w:r w:rsidRPr="001077B0">
                              <w:t xml:space="preserve">Key </w:t>
                            </w:r>
                            <w:r w:rsidR="00526200" w:rsidRPr="001077B0">
                              <w:t>Takeaways</w:t>
                            </w:r>
                          </w:p>
                          <w:p w14:paraId="6B797189" w14:textId="77777777" w:rsidR="00021BBE" w:rsidRPr="001077B0" w:rsidRDefault="00021BBE" w:rsidP="00021BBE">
                            <w:pPr>
                              <w:pStyle w:val="KeyFindingsBullet"/>
                              <w:shd w:val="clear" w:color="auto" w:fill="E8ECF1"/>
                              <w:rPr>
                                <w:rFonts w:eastAsiaTheme="minorHAnsi"/>
                              </w:rPr>
                            </w:pPr>
                            <w:r w:rsidRPr="001077B0">
                              <w:rPr>
                                <w:rFonts w:ascii="Segoe UI" w:eastAsia="Times New Roman" w:hAnsi="Segoe UI" w:cs="Segoe UI"/>
                                <w:b/>
                                <w:bCs/>
                              </w:rPr>
                              <w:t>Last year the Commission identified the relationship between China and Iran as part of an informal “</w:t>
                            </w:r>
                            <w:hyperlink r:id="rId12" w:history="1">
                              <w:r w:rsidRPr="001077B0">
                                <w:rPr>
                                  <w:rStyle w:val="Hyperlink"/>
                                  <w:rFonts w:ascii="Segoe UI" w:eastAsia="Times New Roman" w:hAnsi="Segoe UI" w:cs="Segoe UI"/>
                                  <w:b/>
                                  <w:bCs/>
                                </w:rPr>
                                <w:t>Axis of Autocracy</w:t>
                              </w:r>
                            </w:hyperlink>
                            <w:r w:rsidRPr="001077B0">
                              <w:rPr>
                                <w:rFonts w:ascii="Segoe UI" w:eastAsia="Times New Roman" w:hAnsi="Segoe UI" w:cs="Segoe UI"/>
                                <w:b/>
                                <w:bCs/>
                              </w:rPr>
                              <w:t>.”</w:t>
                            </w:r>
                            <w:r w:rsidRPr="001077B0">
                              <w:rPr>
                                <w:rFonts w:ascii="Segoe UI" w:eastAsia="Times New Roman" w:hAnsi="Segoe UI" w:cs="Segoe UI"/>
                              </w:rPr>
                              <w:t xml:space="preserve"> China helps Iran evade U.S. sanctions and maintain its destabilizing activities in the Middle East. Iran supplies China with relatively low-cost oil and is a partner in China’s efforts to undermine the U.S.-led global order, including through alternative multilateral organizations such as BRICS and the Shanghai Cooperation Organization (SCO).</w:t>
                            </w:r>
                          </w:p>
                          <w:p w14:paraId="7D94856E" w14:textId="7BAE90B5" w:rsidR="00021BBE" w:rsidRPr="001077B0" w:rsidRDefault="00021BBE" w:rsidP="00021BBE">
                            <w:pPr>
                              <w:pStyle w:val="KeyFindingsBullet"/>
                              <w:shd w:val="clear" w:color="auto" w:fill="E8ECF1"/>
                              <w:rPr>
                                <w:rStyle w:val="TextboxBulletIntro"/>
                                <w:rFonts w:asciiTheme="minorHAnsi" w:hAnsiTheme="minorHAnsi"/>
                                <w:color w:val="231F20"/>
                              </w:rPr>
                            </w:pPr>
                            <w:r w:rsidRPr="001077B0">
                              <w:rPr>
                                <w:rStyle w:val="TextboxBulletIntro"/>
                                <w:rFonts w:asciiTheme="minorHAnsi" w:hAnsiTheme="minorHAnsi"/>
                                <w:color w:val="231F20"/>
                              </w:rPr>
                              <w:t xml:space="preserve">Although Tehran has sought deeper strategic alignment, </w:t>
                            </w:r>
                            <w:r w:rsidRPr="001077B0">
                              <w:rPr>
                                <w:rStyle w:val="TextboxBulletIntro"/>
                                <w:rFonts w:asciiTheme="minorHAnsi" w:hAnsiTheme="minorHAnsi"/>
                                <w:b/>
                                <w:bCs w:val="0"/>
                                <w:color w:val="231F20"/>
                              </w:rPr>
                              <w:t xml:space="preserve">China has avoided formal defense commitments to Iran and </w:t>
                            </w:r>
                            <w:r w:rsidRPr="001077B0">
                              <w:rPr>
                                <w:rFonts w:ascii="Segoe UI" w:eastAsia="Times New Roman" w:hAnsi="Segoe UI" w:cs="Segoe UI"/>
                                <w:b/>
                                <w:bCs/>
                              </w:rPr>
                              <w:t xml:space="preserve">is not likely to take </w:t>
                            </w:r>
                            <w:r w:rsidR="00095CB5" w:rsidRPr="001077B0">
                              <w:rPr>
                                <w:rFonts w:ascii="Segoe UI" w:eastAsia="Times New Roman" w:hAnsi="Segoe UI" w:cs="Segoe UI"/>
                                <w:b/>
                                <w:bCs/>
                              </w:rPr>
                              <w:t>significant action</w:t>
                            </w:r>
                            <w:r w:rsidR="00894D6B" w:rsidRPr="001077B0">
                              <w:rPr>
                                <w:rFonts w:ascii="Segoe UI" w:eastAsia="Times New Roman" w:hAnsi="Segoe UI" w:cs="Segoe UI"/>
                                <w:b/>
                                <w:bCs/>
                              </w:rPr>
                              <w:t xml:space="preserve"> </w:t>
                            </w:r>
                            <w:r w:rsidRPr="001077B0">
                              <w:rPr>
                                <w:rFonts w:ascii="Segoe UI" w:eastAsia="Times New Roman" w:hAnsi="Segoe UI" w:cs="Segoe UI"/>
                                <w:b/>
                                <w:bCs/>
                              </w:rPr>
                              <w:t>to support Iran</w:t>
                            </w:r>
                            <w:r w:rsidRPr="001077B0">
                              <w:rPr>
                                <w:rFonts w:ascii="Segoe UI" w:eastAsia="Times New Roman" w:hAnsi="Segoe UI" w:cs="Segoe UI"/>
                              </w:rPr>
                              <w:t xml:space="preserve"> beyond providing diplomatic support and dual-use supplies</w:t>
                            </w:r>
                            <w:r w:rsidRPr="001077B0">
                              <w:rPr>
                                <w:rStyle w:val="TextboxBulletIntro"/>
                                <w:rFonts w:asciiTheme="minorHAnsi" w:hAnsiTheme="minorHAnsi"/>
                                <w:color w:val="231F20"/>
                              </w:rPr>
                              <w:t xml:space="preserve">. China and Iran </w:t>
                            </w:r>
                            <w:r w:rsidRPr="001077B0">
                              <w:rPr>
                                <w:rStyle w:val="TextboxBulletIntro"/>
                                <w:rFonts w:asciiTheme="minorHAnsi" w:hAnsiTheme="minorHAnsi" w:cstheme="minorHAnsi"/>
                                <w:color w:val="231F20"/>
                              </w:rPr>
                              <w:t>bilateral defense engagements have been limited in recent years</w:t>
                            </w:r>
                            <w:r w:rsidRPr="001077B0">
                              <w:rPr>
                                <w:rStyle w:val="TextboxBulletIntro"/>
                                <w:rFonts w:asciiTheme="minorHAnsi" w:hAnsiTheme="minorHAnsi"/>
                                <w:color w:val="231F20"/>
                              </w:rPr>
                              <w:t xml:space="preserve">, while both </w:t>
                            </w:r>
                            <w:r w:rsidRPr="001077B0">
                              <w:rPr>
                                <w:rStyle w:val="TextboxBulletIntro"/>
                                <w:rFonts w:asciiTheme="minorHAnsi" w:hAnsiTheme="minorHAnsi" w:cstheme="minorHAnsi"/>
                                <w:color w:val="231F20"/>
                              </w:rPr>
                              <w:t xml:space="preserve">participate in </w:t>
                            </w:r>
                            <w:r w:rsidRPr="001077B0">
                              <w:rPr>
                                <w:rStyle w:val="TextboxBulletIntro"/>
                                <w:rFonts w:asciiTheme="minorHAnsi" w:hAnsiTheme="minorHAnsi"/>
                                <w:color w:val="231F20"/>
                              </w:rPr>
                              <w:t>joint exercises in trilateral (with Russia) and multilateral settings (including the SCO). Reports indicate that after U.S. strikes began,</w:t>
                            </w:r>
                            <w:r w:rsidRPr="001077B0">
                              <w:rPr>
                                <w:rStyle w:val="TextboxBulletIntro"/>
                                <w:rFonts w:asciiTheme="minorHAnsi" w:hAnsiTheme="minorHAnsi" w:cstheme="minorHAnsi"/>
                                <w:color w:val="231F20"/>
                              </w:rPr>
                              <w:t xml:space="preserve"> China allowed two</w:t>
                            </w:r>
                            <w:r w:rsidRPr="001077B0">
                              <w:rPr>
                                <w:rStyle w:val="TextboxBulletIntro"/>
                                <w:rFonts w:asciiTheme="minorHAnsi" w:hAnsiTheme="minorHAnsi"/>
                                <w:color w:val="231F20"/>
                              </w:rPr>
                              <w:t xml:space="preserve"> state-owned Iranian vessels in a Chinese port to be loaded with sodium perchlorate, which is used in solid rocket fuel for missiles.</w:t>
                            </w:r>
                          </w:p>
                          <w:p w14:paraId="45695A0F" w14:textId="330473EE" w:rsidR="00021BBE" w:rsidRPr="001077B0" w:rsidRDefault="00021BBE" w:rsidP="00021BBE">
                            <w:pPr>
                              <w:pStyle w:val="KeyFindingsBullet"/>
                              <w:shd w:val="clear" w:color="auto" w:fill="E8ECF1"/>
                              <w:rPr>
                                <w:bCs/>
                              </w:rPr>
                            </w:pPr>
                            <w:r w:rsidRPr="001077B0">
                              <w:rPr>
                                <w:b/>
                                <w:bCs/>
                              </w:rPr>
                              <w:t>China is Iran’s largest trading partner and the primary buyer of Iranian oil.</w:t>
                            </w:r>
                            <w:r w:rsidRPr="001077B0">
                              <w:rPr>
                                <w:bCs/>
                              </w:rPr>
                              <w:t> Chinese purchases account for roughly 90 percent of Iran’s exported oil, providing tens of billions of dollars in annual revenue that supports Iran’s government budget and military activities. Beijing and Tehran signed a “comprehensive strategic partnership agreement” in 2021 covering economic, security, and technological cooperation over a 25-year period.</w:t>
                            </w:r>
                          </w:p>
                        </w:txbxContent>
                      </wps:txbx>
                      <wps:bodyPr rot="0" spcFirstLastPara="0" vertOverflow="overflow" horzOverflow="overflow" vert="horz" wrap="square" lIns="228600" tIns="283464" rIns="228600" bIns="2286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9C99671" id="_x0000_t202" coordsize="21600,21600" o:spt="202" path="m,l,21600r21600,l21600,xe">
                <v:stroke joinstyle="miter"/>
                <v:path gradientshapeok="t" o:connecttype="rect"/>
              </v:shapetype>
              <v:shape id="Text Box 4" o:spid="_x0000_s1026" type="#_x0000_t202" style="position:absolute;margin-left:0;margin-top:17.4pt;width:7in;height:308.9pt;z-index:-251657216;visibility:visible;mso-wrap-style:square;mso-width-percent:0;mso-height-percent:0;mso-wrap-distance-left:0;mso-wrap-distance-top:0;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" o:allowoverlap="f" fillcolor="#e8ecf1" stroked="f" strokeweight=".5pt">
                <v:textbox style="mso-fit-shape-to-text:t" inset="18pt,22.32pt,18pt,18pt">
                  <w:txbxContent>
                    <w:p w14:paraId="4010EA56" w14:textId="1EEE42EC" w:rsidR="00021BBE" w:rsidRPr="001077B0" w:rsidRDefault="00021BBE" w:rsidP="00021BBE">
                      <w:pPr>
                        <w:pStyle w:val="KeyFindingsHeading"/>
                      </w:pPr>
                      <w:r w:rsidRPr="001077B0">
                        <w:t xml:space="preserve">Key </w:t>
                      </w:r>
                      <w:r w:rsidR="00526200" w:rsidRPr="001077B0">
                        <w:t>Takeaways</w:t>
                      </w:r>
                    </w:p>
                    <w:p w14:paraId="6B797189" w14:textId="77777777" w:rsidR="00021BBE" w:rsidRPr="001077B0" w:rsidRDefault="00021BBE" w:rsidP="00021BBE">
                      <w:pPr>
                        <w:pStyle w:val="KeyFindingsBullet"/>
                        <w:shd w:val="clear" w:color="auto" w:fill="E8ECF1"/>
                        <w:rPr>
                          <w:rFonts w:eastAsiaTheme="minorHAnsi"/>
                        </w:rPr>
                      </w:pPr>
                      <w:r w:rsidRPr="001077B0">
                        <w:rPr>
                          <w:rFonts w:ascii="Segoe UI" w:eastAsia="Times New Roman" w:hAnsi="Segoe UI" w:cs="Segoe UI"/>
                          <w:b/>
                          <w:bCs/>
                        </w:rPr>
                        <w:t>Last year the Commission identified the relationship between China and Iran as part of an informal “</w:t>
                      </w:r>
                      <w:hyperlink r:id="rId13" w:history="1">
                        <w:r w:rsidRPr="001077B0">
                          <w:rPr>
                            <w:rStyle w:val="Hyperlink"/>
                            <w:rFonts w:ascii="Segoe UI" w:eastAsia="Times New Roman" w:hAnsi="Segoe UI" w:cs="Segoe UI"/>
                            <w:b/>
                            <w:bCs/>
                          </w:rPr>
                          <w:t>Axis of Autocracy</w:t>
                        </w:r>
                      </w:hyperlink>
                      <w:r w:rsidRPr="001077B0">
                        <w:rPr>
                          <w:rFonts w:ascii="Segoe UI" w:eastAsia="Times New Roman" w:hAnsi="Segoe UI" w:cs="Segoe UI"/>
                          <w:b/>
                          <w:bCs/>
                        </w:rPr>
                        <w:t>.”</w:t>
                      </w:r>
                      <w:r w:rsidRPr="001077B0">
                        <w:rPr>
                          <w:rFonts w:ascii="Segoe UI" w:eastAsia="Times New Roman" w:hAnsi="Segoe UI" w:cs="Segoe UI"/>
                        </w:rPr>
                        <w:t xml:space="preserve"> China helps Iran evade U.S. sanctions and maintain its destabilizing activities in the Middle East. Iran supplies China with relatively low-cost oil and is a partner in China’s efforts to undermine the U.S.-led global order, including through alternative multilateral organizations such as BRICS and the Shanghai Cooperation Organization (SCO).</w:t>
                      </w:r>
                    </w:p>
                    <w:p w14:paraId="7D94856E" w14:textId="7BAE90B5" w:rsidR="00021BBE" w:rsidRPr="001077B0" w:rsidRDefault="00021BBE" w:rsidP="00021BBE">
                      <w:pPr>
                        <w:pStyle w:val="KeyFindingsBullet"/>
                        <w:shd w:val="clear" w:color="auto" w:fill="E8ECF1"/>
                        <w:rPr>
                          <w:rStyle w:val="TextboxBulletIntro"/>
                          <w:rFonts w:asciiTheme="minorHAnsi" w:hAnsiTheme="minorHAnsi"/>
                          <w:color w:val="231F20"/>
                        </w:rPr>
                      </w:pPr>
                      <w:r w:rsidRPr="001077B0">
                        <w:rPr>
                          <w:rStyle w:val="TextboxBulletIntro"/>
                          <w:rFonts w:asciiTheme="minorHAnsi" w:hAnsiTheme="minorHAnsi"/>
                          <w:color w:val="231F20"/>
                        </w:rPr>
                        <w:t xml:space="preserve">Although Tehran has sought deeper strategic alignment, </w:t>
                      </w:r>
                      <w:r w:rsidRPr="001077B0">
                        <w:rPr>
                          <w:rStyle w:val="TextboxBulletIntro"/>
                          <w:rFonts w:asciiTheme="minorHAnsi" w:hAnsiTheme="minorHAnsi"/>
                          <w:b/>
                          <w:bCs w:val="0"/>
                          <w:color w:val="231F20"/>
                        </w:rPr>
                        <w:t xml:space="preserve">China has avoided formal defense commitments to Iran and </w:t>
                      </w:r>
                      <w:r w:rsidRPr="001077B0">
                        <w:rPr>
                          <w:rFonts w:ascii="Segoe UI" w:eastAsia="Times New Roman" w:hAnsi="Segoe UI" w:cs="Segoe UI"/>
                          <w:b/>
                          <w:bCs/>
                        </w:rPr>
                        <w:t xml:space="preserve">is not likely to take </w:t>
                      </w:r>
                      <w:r w:rsidR="00095CB5" w:rsidRPr="001077B0">
                        <w:rPr>
                          <w:rFonts w:ascii="Segoe UI" w:eastAsia="Times New Roman" w:hAnsi="Segoe UI" w:cs="Segoe UI"/>
                          <w:b/>
                          <w:bCs/>
                        </w:rPr>
                        <w:t>significant action</w:t>
                      </w:r>
                      <w:r w:rsidR="00894D6B" w:rsidRPr="001077B0">
                        <w:rPr>
                          <w:rFonts w:ascii="Segoe UI" w:eastAsia="Times New Roman" w:hAnsi="Segoe UI" w:cs="Segoe UI"/>
                          <w:b/>
                          <w:bCs/>
                        </w:rPr>
                        <w:t xml:space="preserve"> </w:t>
                      </w:r>
                      <w:r w:rsidRPr="001077B0">
                        <w:rPr>
                          <w:rFonts w:ascii="Segoe UI" w:eastAsia="Times New Roman" w:hAnsi="Segoe UI" w:cs="Segoe UI"/>
                          <w:b/>
                          <w:bCs/>
                        </w:rPr>
                        <w:t>to support Iran</w:t>
                      </w:r>
                      <w:r w:rsidRPr="001077B0">
                        <w:rPr>
                          <w:rFonts w:ascii="Segoe UI" w:eastAsia="Times New Roman" w:hAnsi="Segoe UI" w:cs="Segoe UI"/>
                        </w:rPr>
                        <w:t xml:space="preserve"> beyond providing diplomatic support and dual-use supplies</w:t>
                      </w:r>
                      <w:r w:rsidRPr="001077B0">
                        <w:rPr>
                          <w:rStyle w:val="TextboxBulletIntro"/>
                          <w:rFonts w:asciiTheme="minorHAnsi" w:hAnsiTheme="minorHAnsi"/>
                          <w:color w:val="231F20"/>
                        </w:rPr>
                        <w:t xml:space="preserve">. China and Iran </w:t>
                      </w:r>
                      <w:r w:rsidRPr="001077B0">
                        <w:rPr>
                          <w:rStyle w:val="TextboxBulletIntro"/>
                          <w:rFonts w:asciiTheme="minorHAnsi" w:hAnsiTheme="minorHAnsi" w:cstheme="minorHAnsi"/>
                          <w:color w:val="231F20"/>
                        </w:rPr>
                        <w:t>bilateral defense engagements have been limited in recent years</w:t>
                      </w:r>
                      <w:r w:rsidRPr="001077B0">
                        <w:rPr>
                          <w:rStyle w:val="TextboxBulletIntro"/>
                          <w:rFonts w:asciiTheme="minorHAnsi" w:hAnsiTheme="minorHAnsi"/>
                          <w:color w:val="231F20"/>
                        </w:rPr>
                        <w:t xml:space="preserve">, while both </w:t>
                      </w:r>
                      <w:r w:rsidRPr="001077B0">
                        <w:rPr>
                          <w:rStyle w:val="TextboxBulletIntro"/>
                          <w:rFonts w:asciiTheme="minorHAnsi" w:hAnsiTheme="minorHAnsi" w:cstheme="minorHAnsi"/>
                          <w:color w:val="231F20"/>
                        </w:rPr>
                        <w:t xml:space="preserve">participate in </w:t>
                      </w:r>
                      <w:r w:rsidRPr="001077B0">
                        <w:rPr>
                          <w:rStyle w:val="TextboxBulletIntro"/>
                          <w:rFonts w:asciiTheme="minorHAnsi" w:hAnsiTheme="minorHAnsi"/>
                          <w:color w:val="231F20"/>
                        </w:rPr>
                        <w:t>joint exercises in trilateral (with Russia) and multilateral settings (including the SCO). Reports indicate that after U.S. strikes began,</w:t>
                      </w:r>
                      <w:r w:rsidRPr="001077B0">
                        <w:rPr>
                          <w:rStyle w:val="TextboxBulletIntro"/>
                          <w:rFonts w:asciiTheme="minorHAnsi" w:hAnsiTheme="minorHAnsi" w:cstheme="minorHAnsi"/>
                          <w:color w:val="231F20"/>
                        </w:rPr>
                        <w:t xml:space="preserve"> China allowed two</w:t>
                      </w:r>
                      <w:r w:rsidRPr="001077B0">
                        <w:rPr>
                          <w:rStyle w:val="TextboxBulletIntro"/>
                          <w:rFonts w:asciiTheme="minorHAnsi" w:hAnsiTheme="minorHAnsi"/>
                          <w:color w:val="231F20"/>
                        </w:rPr>
                        <w:t xml:space="preserve"> state-owned Iranian vessels in a Chinese port to be loaded with sodium perchlorate, which is used in solid rocket fuel for missiles.</w:t>
                      </w:r>
                    </w:p>
                    <w:p w14:paraId="45695A0F" w14:textId="330473EE" w:rsidR="00021BBE" w:rsidRPr="001077B0" w:rsidRDefault="00021BBE" w:rsidP="00021BBE">
                      <w:pPr>
                        <w:pStyle w:val="KeyFindingsBullet"/>
                        <w:shd w:val="clear" w:color="auto" w:fill="E8ECF1"/>
                        <w:rPr>
                          <w:bCs/>
                        </w:rPr>
                      </w:pPr>
                      <w:r w:rsidRPr="001077B0">
                        <w:rPr>
                          <w:b/>
                          <w:bCs/>
                        </w:rPr>
                        <w:t>China is Iran’s largest trading partner and the primary buyer of Iranian oil.</w:t>
                      </w:r>
                      <w:r w:rsidRPr="001077B0">
                        <w:rPr>
                          <w:bCs/>
                        </w:rPr>
                        <w:t> Chinese purchases account for roughly 90 percent of Iran’s exported oil, providing tens of billions of dollars in annual revenue that supports Iran’s government budget and military activities. Beijing and Tehran signed a “comprehensive strategic partnership agreement” in 2021 covering economic, security, and technological cooperation over a 25-year period.</w:t>
                      </w:r>
                    </w:p>
                  </w:txbxContent>
                </v:textbox>
                <w10:wrap type="topAndBottom" anchorx="margin"/>
              </v:shape>
            </w:pict>
          </mc:Fallback>
        </mc:AlternateContent>
      </w:r>
      <w:r w:rsidRPr="001077B0">
        <w:t>March 16, 2026</w:t>
      </w:r>
    </w:p>
    <w:p w14:paraId="6FB54469" w14:textId="36C8A6B7" w:rsidR="00261703" w:rsidRPr="001077B0" w:rsidRDefault="00261703" w:rsidP="00261703">
      <w:pPr>
        <w:pStyle w:val="Heading1topofsection"/>
      </w:pPr>
      <w:r w:rsidRPr="001077B0">
        <w:rPr>
          <w:noProof/>
        </w:rPr>
        <w:lastRenderedPageBreak/>
        <mc:AlternateContent>
          <mc:Choice Requires="wps">
            <w:drawing>
              <wp:anchor distT="0" distB="457200" distL="0" distR="0" simplePos="0" relativeHeight="251661312" behindDoc="0" locked="0" layoutInCell="1" allowOverlap="0" wp14:anchorId="07EA954A" wp14:editId="720D9FC1">
                <wp:simplePos x="0" y="0"/>
                <wp:positionH relativeFrom="margin">
                  <wp:posOffset>0</wp:posOffset>
                </wp:positionH>
                <wp:positionV relativeFrom="paragraph">
                  <wp:posOffset>24130</wp:posOffset>
                </wp:positionV>
                <wp:extent cx="6400800" cy="2543175"/>
                <wp:effectExtent l="0" t="0" r="0" b="9525"/>
                <wp:wrapNone/>
                <wp:docPr id="947497475" name="Text Box 4"/>
                <wp:cNvGraphicFramePr/>
                <a:graphic xmlns:a="http://schemas.openxmlformats.org/drawingml/2006/main">
                  <a:graphicData uri="http://schemas.microsoft.com/office/word/2010/wordprocessingShape">
                    <wps:wsp>
                      <wps:cNvSpPr txBox="1"/>
                      <wps:spPr>
                        <a:xfrm>
                          <a:off x="0" y="0"/>
                          <a:ext cx="6400800" cy="2543175"/>
                        </a:xfrm>
                        <a:prstGeom prst="rect">
                          <a:avLst/>
                        </a:prstGeom>
                        <a:solidFill>
                          <a:srgbClr val="E8ECF1"/>
                        </a:solidFill>
                        <a:ln w="6350">
                          <a:noFill/>
                        </a:ln>
                      </wps:spPr>
                      <wps:txbx>
                        <w:txbxContent>
                          <w:p w14:paraId="5BEB20BC" w14:textId="57C6D24F" w:rsidR="00021BBE" w:rsidRPr="00C56988" w:rsidRDefault="00021BBE" w:rsidP="00261703">
                            <w:pPr>
                              <w:pStyle w:val="KeyFindingsBullet"/>
                              <w:shd w:val="clear" w:color="auto" w:fill="E8ECF1"/>
                              <w:spacing w:before="0"/>
                              <w:rPr>
                                <w:bCs/>
                              </w:rPr>
                            </w:pPr>
                            <w:r w:rsidRPr="00C56988">
                              <w:rPr>
                                <w:b/>
                                <w:bCs/>
                              </w:rPr>
                              <w:t>China enables Iran to mitigate global sanctions through trade and financial networks, technology transfers, and dual-use trade.</w:t>
                            </w:r>
                            <w:r w:rsidRPr="00C56988">
                              <w:rPr>
                                <w:bCs/>
                              </w:rPr>
                              <w:t> Chinese banks, front companies, and intermediary firms facilitate oil transactions, the shadow fleet that transport</w:t>
                            </w:r>
                            <w:r w:rsidR="00526200">
                              <w:rPr>
                                <w:bCs/>
                              </w:rPr>
                              <w:t>s</w:t>
                            </w:r>
                            <w:r w:rsidRPr="00C56988">
                              <w:rPr>
                                <w:bCs/>
                              </w:rPr>
                              <w:t xml:space="preserve"> Iranian oil, access to controlled technologies that support Iran’s missile and drone programs,</w:t>
                            </w:r>
                            <w:r w:rsidRPr="00C56988">
                              <w:t xml:space="preserve"> and money laundering that </w:t>
                            </w:r>
                            <w:r w:rsidR="00526200">
                              <w:t>enables</w:t>
                            </w:r>
                            <w:r w:rsidR="00526200" w:rsidRPr="00C56988">
                              <w:t xml:space="preserve"> </w:t>
                            </w:r>
                            <w:r w:rsidRPr="00C56988">
                              <w:t>it all</w:t>
                            </w:r>
                            <w:r w:rsidRPr="00C56988">
                              <w:rPr>
                                <w:bCs/>
                              </w:rPr>
                              <w:t>. </w:t>
                            </w:r>
                          </w:p>
                          <w:p w14:paraId="6653BABD" w14:textId="24F02603" w:rsidR="00021BBE" w:rsidRPr="00021BBE" w:rsidRDefault="00021BBE" w:rsidP="00261703">
                            <w:pPr>
                              <w:pStyle w:val="KeyFindingsBullet"/>
                              <w:shd w:val="clear" w:color="auto" w:fill="E8ECF1"/>
                              <w:rPr>
                                <w:bCs/>
                              </w:rPr>
                            </w:pPr>
                            <w:r w:rsidRPr="00C56988">
                              <w:rPr>
                                <w:bCs/>
                              </w:rPr>
                              <w:t>Despite the e</w:t>
                            </w:r>
                            <w:r w:rsidRPr="00C56988">
                              <w:t>xpanding</w:t>
                            </w:r>
                            <w:r w:rsidRPr="00C56988">
                              <w:rPr>
                                <w:bCs/>
                              </w:rPr>
                              <w:t xml:space="preserve"> partnership, </w:t>
                            </w:r>
                            <w:r w:rsidRPr="00C56988">
                              <w:rPr>
                                <w:b/>
                              </w:rPr>
                              <w:t>the relationship remains asymmetric.</w:t>
                            </w:r>
                            <w:r w:rsidRPr="00C56988">
                              <w:rPr>
                                <w:bCs/>
                              </w:rPr>
                              <w:t xml:space="preserve"> Iran depends heavily on China for energy export</w:t>
                            </w:r>
                            <w:r w:rsidR="00526200">
                              <w:rPr>
                                <w:bCs/>
                              </w:rPr>
                              <w:t xml:space="preserve"> revenue</w:t>
                            </w:r>
                            <w:r w:rsidRPr="00C56988">
                              <w:rPr>
                                <w:bCs/>
                              </w:rPr>
                              <w:t xml:space="preserve"> and diplomatic backing, while </w:t>
                            </w:r>
                            <w:r w:rsidRPr="00C56988">
                              <w:rPr>
                                <w:b/>
                              </w:rPr>
                              <w:t>Beijing maintains a cautious approach to avoid jeopardizing relations with other Middle Eastern partners</w:t>
                            </w:r>
                            <w:r w:rsidRPr="00C56988">
                              <w:rPr>
                                <w:bCs/>
                              </w:rPr>
                              <w:t xml:space="preserve"> such as Saudi Arabia and the United Arab Emirates (UAE). </w:t>
                            </w:r>
                            <w:r w:rsidRPr="00C56988">
                              <w:rPr>
                                <w:b/>
                              </w:rPr>
                              <w:t>As of publication, Beijing has limited its official support for Iran after U.S. and Israeli strikes to diplomatic statements</w:t>
                            </w:r>
                            <w:r w:rsidRPr="00C56988">
                              <w:rPr>
                                <w:bCs/>
                              </w:rPr>
                              <w:t xml:space="preserve"> </w:t>
                            </w:r>
                            <w:r w:rsidR="00526200">
                              <w:rPr>
                                <w:bCs/>
                              </w:rPr>
                              <w:t xml:space="preserve">characterizing the actions as </w:t>
                            </w:r>
                            <w:r w:rsidRPr="00C56988">
                              <w:rPr>
                                <w:bCs/>
                              </w:rPr>
                              <w:t>violations of international law, condemning the killing of Ayatollah Ali Khamenei, and calling for immediate cessation of attacks and the reopening of dialogue.</w:t>
                            </w:r>
                          </w:p>
                        </w:txbxContent>
                      </wps:txbx>
                      <wps:bodyPr rot="0" spcFirstLastPara="0" vertOverflow="overflow" horzOverflow="overflow" vert="horz" wrap="square" lIns="228600" tIns="283464"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A954A" id="_x0000_s1027" type="#_x0000_t202" style="position:absolute;margin-left:0;margin-top:1.9pt;width:7in;height:200.25pt;z-index:251661312;visibility:visible;mso-wrap-style:square;mso-width-percent:0;mso-height-percent:0;mso-wrap-distance-left:0;mso-wrap-distance-top:0;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" o:allowoverlap="f" fillcolor="#e8ecf1" stroked="f" strokeweight=".5pt">
                <v:textbox inset="18pt,22.32pt,18pt,18pt">
                  <w:txbxContent>
                    <w:p w14:paraId="5BEB20BC" w14:textId="57C6D24F" w:rsidR="00021BBE" w:rsidRPr="00C56988" w:rsidRDefault="00021BBE" w:rsidP="00261703">
                      <w:pPr>
                        <w:pStyle w:val="KeyFindingsBullet"/>
                        <w:shd w:val="clear" w:color="auto" w:fill="E8ECF1"/>
                        <w:spacing w:before="0"/>
                        <w:rPr>
                          <w:bCs/>
                        </w:rPr>
                      </w:pPr>
                      <w:r w:rsidRPr="00C56988">
                        <w:rPr>
                          <w:b/>
                          <w:bCs/>
                        </w:rPr>
                        <w:t>China enables Iran to mitigate global sanctions through trade and financial networks, technology transfers, and dual-use trade.</w:t>
                      </w:r>
                      <w:r w:rsidRPr="00C56988">
                        <w:rPr>
                          <w:bCs/>
                        </w:rPr>
                        <w:t> Chinese banks, front companies, and intermediary firms facilitate oil transactions, the shadow fleet that transport</w:t>
                      </w:r>
                      <w:r w:rsidR="00526200">
                        <w:rPr>
                          <w:bCs/>
                        </w:rPr>
                        <w:t>s</w:t>
                      </w:r>
                      <w:r w:rsidRPr="00C56988">
                        <w:rPr>
                          <w:bCs/>
                        </w:rPr>
                        <w:t xml:space="preserve"> Iranian oil, access to controlled technologies that support Iran’s missile and drone programs,</w:t>
                      </w:r>
                      <w:r w:rsidRPr="00C56988">
                        <w:t xml:space="preserve"> and money laundering that </w:t>
                      </w:r>
                      <w:r w:rsidR="00526200">
                        <w:t>enables</w:t>
                      </w:r>
                      <w:r w:rsidR="00526200" w:rsidRPr="00C56988">
                        <w:t xml:space="preserve"> </w:t>
                      </w:r>
                      <w:r w:rsidRPr="00C56988">
                        <w:t>it all</w:t>
                      </w:r>
                      <w:r w:rsidRPr="00C56988">
                        <w:rPr>
                          <w:bCs/>
                        </w:rPr>
                        <w:t>. </w:t>
                      </w:r>
                    </w:p>
                    <w:p w14:paraId="6653BABD" w14:textId="24F02603" w:rsidR="00021BBE" w:rsidRPr="00021BBE" w:rsidRDefault="00021BBE" w:rsidP="00261703">
                      <w:pPr>
                        <w:pStyle w:val="KeyFindingsBullet"/>
                        <w:shd w:val="clear" w:color="auto" w:fill="E8ECF1"/>
                        <w:rPr>
                          <w:bCs/>
                        </w:rPr>
                      </w:pPr>
                      <w:r w:rsidRPr="00C56988">
                        <w:rPr>
                          <w:bCs/>
                        </w:rPr>
                        <w:t>Despite the e</w:t>
                      </w:r>
                      <w:r w:rsidRPr="00C56988">
                        <w:t>xpanding</w:t>
                      </w:r>
                      <w:r w:rsidRPr="00C56988">
                        <w:rPr>
                          <w:bCs/>
                        </w:rPr>
                        <w:t xml:space="preserve"> partnership, </w:t>
                      </w:r>
                      <w:r w:rsidRPr="00C56988">
                        <w:rPr>
                          <w:b/>
                        </w:rPr>
                        <w:t>the relationship remains asymmetric.</w:t>
                      </w:r>
                      <w:r w:rsidRPr="00C56988">
                        <w:rPr>
                          <w:bCs/>
                        </w:rPr>
                        <w:t xml:space="preserve"> Iran depends heavily on China for energy export</w:t>
                      </w:r>
                      <w:r w:rsidR="00526200">
                        <w:rPr>
                          <w:bCs/>
                        </w:rPr>
                        <w:t xml:space="preserve"> revenue</w:t>
                      </w:r>
                      <w:r w:rsidRPr="00C56988">
                        <w:rPr>
                          <w:bCs/>
                        </w:rPr>
                        <w:t xml:space="preserve"> and diplomatic backing, while </w:t>
                      </w:r>
                      <w:r w:rsidRPr="00C56988">
                        <w:rPr>
                          <w:b/>
                        </w:rPr>
                        <w:t>Beijing maintains a cautious approach to avoid jeopardizing relations with other Middle Eastern partners</w:t>
                      </w:r>
                      <w:r w:rsidRPr="00C56988">
                        <w:rPr>
                          <w:bCs/>
                        </w:rPr>
                        <w:t xml:space="preserve"> such as Saudi Arabia and the United Arab Emirates (UAE). </w:t>
                      </w:r>
                      <w:r w:rsidRPr="00C56988">
                        <w:rPr>
                          <w:b/>
                        </w:rPr>
                        <w:t>As of publication, Beijing has limited its official support for Iran after U.S. and Israeli strikes to diplomatic statements</w:t>
                      </w:r>
                      <w:r w:rsidRPr="00C56988">
                        <w:rPr>
                          <w:bCs/>
                        </w:rPr>
                        <w:t xml:space="preserve"> </w:t>
                      </w:r>
                      <w:r w:rsidR="00526200">
                        <w:rPr>
                          <w:bCs/>
                        </w:rPr>
                        <w:t xml:space="preserve">characterizing the actions as </w:t>
                      </w:r>
                      <w:r w:rsidRPr="00C56988">
                        <w:rPr>
                          <w:bCs/>
                        </w:rPr>
                        <w:t>violations of international law, condemning the killing of Ayatollah Ali Khamenei, and calling for immediate cessation of attacks and the reopening of dialogue.</w:t>
                      </w:r>
                    </w:p>
                  </w:txbxContent>
                </v:textbox>
                <w10:wrap anchorx="margin"/>
              </v:shape>
            </w:pict>
          </mc:Fallback>
        </mc:AlternateContent>
      </w:r>
    </w:p>
    <w:p w14:paraId="7CD9396C" w14:textId="7FD4AD67" w:rsidR="00261703" w:rsidRPr="001077B0" w:rsidRDefault="00261703" w:rsidP="00261703">
      <w:pPr>
        <w:pStyle w:val="Heading1topofsection"/>
      </w:pPr>
    </w:p>
    <w:p w14:paraId="374E8342" w14:textId="2C2E3230" w:rsidR="00261703" w:rsidRPr="001077B0" w:rsidRDefault="00261703" w:rsidP="00261703">
      <w:pPr>
        <w:pStyle w:val="Heading1topofsection"/>
      </w:pPr>
    </w:p>
    <w:p w14:paraId="72E14735" w14:textId="4979DEDE" w:rsidR="00261703" w:rsidRPr="001077B0" w:rsidRDefault="00261703" w:rsidP="00261703">
      <w:pPr>
        <w:pStyle w:val="Heading1topofsection"/>
      </w:pPr>
    </w:p>
    <w:p w14:paraId="08E01C4B" w14:textId="4CD3E16A" w:rsidR="00261703" w:rsidRPr="001077B0" w:rsidRDefault="00261703" w:rsidP="00261703">
      <w:pPr>
        <w:pStyle w:val="Heading1topofsection"/>
      </w:pPr>
    </w:p>
    <w:p w14:paraId="532ABF36" w14:textId="55D4A1DC" w:rsidR="00261703" w:rsidRPr="001077B0" w:rsidRDefault="00261703" w:rsidP="00261703">
      <w:pPr>
        <w:pStyle w:val="Heading1topofsection"/>
      </w:pPr>
    </w:p>
    <w:p w14:paraId="6BF8A851" w14:textId="53E85660" w:rsidR="00261703" w:rsidRPr="001077B0" w:rsidRDefault="00261703" w:rsidP="00261703">
      <w:pPr>
        <w:pStyle w:val="Heading1topofsection"/>
      </w:pPr>
    </w:p>
    <w:p w14:paraId="4AA387E4" w14:textId="77777777" w:rsidR="00261703" w:rsidRPr="001077B0" w:rsidRDefault="00261703" w:rsidP="00261703">
      <w:pPr>
        <w:pStyle w:val="Heading1topofsection"/>
      </w:pPr>
    </w:p>
    <w:p w14:paraId="230AD55F" w14:textId="77777777" w:rsidR="00261703" w:rsidRPr="001077B0" w:rsidRDefault="00261703" w:rsidP="00261703">
      <w:pPr>
        <w:pStyle w:val="Heading1topofsection"/>
      </w:pPr>
    </w:p>
    <w:p w14:paraId="33F24FCC" w14:textId="45A3413F" w:rsidR="00874A78" w:rsidRPr="001077B0" w:rsidRDefault="00874A78" w:rsidP="00261703">
      <w:pPr>
        <w:pStyle w:val="Heading1topofsection"/>
      </w:pPr>
      <w:r w:rsidRPr="001077B0">
        <w:t>Strategic Relations</w:t>
      </w:r>
    </w:p>
    <w:p w14:paraId="0A7354C5" w14:textId="77777777" w:rsidR="00261703" w:rsidRPr="001077B0" w:rsidRDefault="00261703" w:rsidP="00261703">
      <w:pPr>
        <w:rPr>
          <w:rFonts w:eastAsia="Calibri" w:cstheme="minorHAnsi"/>
          <w:b/>
        </w:rPr>
        <w:sectPr w:rsidR="00261703" w:rsidRPr="001077B0" w:rsidSect="00874A78">
          <w:headerReference w:type="default" r:id="rId14"/>
          <w:footnotePr>
            <w:numFmt w:val="chicago"/>
          </w:footnotePr>
          <w:endnotePr>
            <w:numFmt w:val="decimal"/>
          </w:endnotePr>
          <w:type w:val="continuous"/>
          <w:pgSz w:w="12240" w:h="15840"/>
          <w:pgMar w:top="1987" w:right="1080" w:bottom="1267" w:left="1080" w:header="720" w:footer="907" w:gutter="0"/>
          <w:cols w:space="360"/>
          <w:docGrid w:linePitch="360"/>
        </w:sectPr>
      </w:pPr>
    </w:p>
    <w:p w14:paraId="0587B2DB" w14:textId="771BFB2C" w:rsidR="00874A78" w:rsidRPr="001077B0" w:rsidRDefault="0004470A" w:rsidP="00021BBE">
      <w:pPr>
        <w:pStyle w:val="ListBullet"/>
        <w:suppressAutoHyphens w:val="0"/>
        <w:rPr>
          <w:bCs/>
        </w:rPr>
      </w:pPr>
      <w:r w:rsidRPr="001077B0">
        <w:rPr>
          <w:rFonts w:eastAsia="Calibri" w:cstheme="minorHAnsi"/>
          <w:b/>
        </w:rPr>
        <w:t xml:space="preserve">China’s relationship with Iran has evolved over decades from limited cooperation to a broad strategic partnership </w:t>
      </w:r>
      <w:r w:rsidR="00874A78" w:rsidRPr="001077B0">
        <w:rPr>
          <w:bCs/>
        </w:rPr>
        <w:t>encompassing economic, diplomatic, and security dimensions,</w:t>
      </w:r>
      <w:r w:rsidR="00874A78" w:rsidRPr="001077B0">
        <w:t xml:space="preserve"> </w:t>
      </w:r>
      <w:r w:rsidRPr="001077B0">
        <w:rPr>
          <w:rFonts w:eastAsia="Calibri" w:cstheme="minorHAnsi"/>
          <w:b/>
        </w:rPr>
        <w:t>much of which runs directly counter to U.S. foreign policy and national security interests.</w:t>
      </w:r>
      <w:r w:rsidR="00874A78" w:rsidRPr="001077B0">
        <w:rPr>
          <w:bCs/>
        </w:rPr>
        <w:t xml:space="preserve"> China views Iran as a partner in balancing U.S. influence in the Middle East and seeking to erode the U.S.-led global order</w:t>
      </w:r>
      <w:r w:rsidR="00526200" w:rsidRPr="001077B0">
        <w:rPr>
          <w:bCs/>
        </w:rPr>
        <w:t>,</w:t>
      </w:r>
      <w:r w:rsidR="00874A78" w:rsidRPr="001077B0">
        <w:rPr>
          <w:bCs/>
        </w:rPr>
        <w:t xml:space="preserve"> and as a key supplier of discounted energy resources.</w:t>
      </w:r>
      <w:r w:rsidR="00C01A02" w:rsidRPr="001077B0">
        <w:rPr>
          <w:bCs/>
        </w:rPr>
        <w:t xml:space="preserve"> </w:t>
      </w:r>
    </w:p>
    <w:p w14:paraId="10C5D862" w14:textId="3B6E2928" w:rsidR="00874A78" w:rsidRPr="001077B0" w:rsidRDefault="0004470A" w:rsidP="00021BBE">
      <w:pPr>
        <w:pStyle w:val="ListBullet"/>
        <w:suppressAutoHyphens w:val="0"/>
        <w:rPr>
          <w:bCs/>
        </w:rPr>
      </w:pPr>
      <w:r w:rsidRPr="001077B0">
        <w:rPr>
          <w:rFonts w:eastAsia="Calibri" w:cstheme="minorHAnsi"/>
          <w:b/>
        </w:rPr>
        <w:t>China, Iran, Russia, and North Korea are increasingly resembling an informal Axis of Autocracy.</w:t>
      </w:r>
      <w:r w:rsidRPr="001077B0">
        <w:rPr>
          <w:rFonts w:eastAsia="Calibri" w:cstheme="minorHAnsi"/>
          <w:bCs/>
        </w:rPr>
        <w:t xml:space="preserve"> </w:t>
      </w:r>
      <w:r w:rsidR="00874A78" w:rsidRPr="001077B0">
        <w:rPr>
          <w:bCs/>
        </w:rPr>
        <w:t xml:space="preserve">Brought together by </w:t>
      </w:r>
      <w:r w:rsidR="00C84F21" w:rsidRPr="001077B0">
        <w:rPr>
          <w:bCs/>
        </w:rPr>
        <w:t xml:space="preserve">a </w:t>
      </w:r>
      <w:r w:rsidR="00874A78" w:rsidRPr="001077B0">
        <w:rPr>
          <w:bCs/>
        </w:rPr>
        <w:t>shared desire to challenge U.S. global leadership and reshape elements of the international system to be more conducive to authoritarian forms of government, this partnership emboldens each actor to take more provocative actions, believing that mutual support will help them withstand the consequences. (</w:t>
      </w:r>
      <w:r w:rsidR="00C84F21" w:rsidRPr="001077B0">
        <w:rPr>
          <w:bCs/>
        </w:rPr>
        <w:t>F</w:t>
      </w:r>
      <w:r w:rsidR="00874A78" w:rsidRPr="001077B0">
        <w:rPr>
          <w:bCs/>
        </w:rPr>
        <w:t>or more, see</w:t>
      </w:r>
      <w:r w:rsidR="00874A78" w:rsidRPr="001077B0">
        <w:t xml:space="preserve"> </w:t>
      </w:r>
      <w:r w:rsidR="00874A78" w:rsidRPr="001077B0">
        <w:rPr>
          <w:bCs/>
        </w:rPr>
        <w:t>U.S.-China Economic and Security Review Commission, “</w:t>
      </w:r>
      <w:hyperlink r:id="rId15" w:history="1">
        <w:r w:rsidR="00874A78" w:rsidRPr="001077B0">
          <w:rPr>
            <w:rStyle w:val="Hyperlink"/>
            <w:rFonts w:eastAsia="Calibri" w:cstheme="minorHAnsi"/>
            <w:bCs/>
          </w:rPr>
          <w:t>Axis of Autocracy: China’s Revisionist Ambitions with Russia, Iran, and North Korea</w:t>
        </w:r>
      </w:hyperlink>
      <w:r w:rsidR="00874A78" w:rsidRPr="001077B0">
        <w:rPr>
          <w:bCs/>
        </w:rPr>
        <w:t xml:space="preserve">,” in </w:t>
      </w:r>
      <w:r w:rsidR="00874A78" w:rsidRPr="001077B0">
        <w:rPr>
          <w:bCs/>
          <w:i/>
          <w:iCs/>
        </w:rPr>
        <w:t>2025 Annual Report to Congress</w:t>
      </w:r>
      <w:r w:rsidR="00874A78" w:rsidRPr="001077B0">
        <w:rPr>
          <w:bCs/>
        </w:rPr>
        <w:t>, November 2025</w:t>
      </w:r>
      <w:r w:rsidR="007D05A0" w:rsidRPr="001077B0">
        <w:rPr>
          <w:bCs/>
        </w:rPr>
        <w:t>.</w:t>
      </w:r>
      <w:r w:rsidR="00874A78" w:rsidRPr="001077B0">
        <w:rPr>
          <w:bCs/>
        </w:rPr>
        <w:t>)</w:t>
      </w:r>
    </w:p>
    <w:p w14:paraId="6AA2A77E" w14:textId="34138269" w:rsidR="00874A78" w:rsidRPr="001077B0" w:rsidRDefault="00874A78" w:rsidP="00021BBE">
      <w:pPr>
        <w:pStyle w:val="ListBullet"/>
        <w:suppressAutoHyphens w:val="0"/>
      </w:pPr>
      <w:r w:rsidRPr="001077B0">
        <w:t xml:space="preserve">Beijing has </w:t>
      </w:r>
      <w:r w:rsidRPr="001077B0">
        <w:rPr>
          <w:b/>
          <w:bCs/>
        </w:rPr>
        <w:t>expressed opposition to Iran developing nuclear weapons</w:t>
      </w:r>
      <w:r w:rsidRPr="001077B0">
        <w:t xml:space="preserve"> and has supported diplomatic frameworks such as the Joint Comprehensive </w:t>
      </w:r>
      <w:r w:rsidRPr="001077B0">
        <w:t>Plan of Action (JCPOA). China has supported Iran’s right to a civilian nuclear energy program.</w:t>
      </w:r>
      <w:r w:rsidRPr="001077B0">
        <w:rPr>
          <w:vertAlign w:val="superscript"/>
        </w:rPr>
        <w:endnoteReference w:id="2"/>
      </w:r>
      <w:r w:rsidRPr="001077B0">
        <w:t xml:space="preserve"> Over the past two decades, open-source reporting does not indicate that China has directly helped Iran’s nuclear weapons program. Rather, most allegations against China have focused on dual-use technology transfers, missile-related materials, or sanctions evasion rather than direct nuclear weapons assistance.</w:t>
      </w:r>
      <w:r w:rsidRPr="001077B0">
        <w:rPr>
          <w:vertAlign w:val="superscript"/>
        </w:rPr>
        <w:endnoteReference w:id="3"/>
      </w:r>
      <w:r w:rsidRPr="001077B0">
        <w:t xml:space="preserve"> </w:t>
      </w:r>
    </w:p>
    <w:p w14:paraId="175E5951" w14:textId="27670377" w:rsidR="00874A78" w:rsidRPr="001077B0" w:rsidRDefault="0004470A" w:rsidP="00021BBE">
      <w:pPr>
        <w:pStyle w:val="ListBullet"/>
        <w:suppressAutoHyphens w:val="0"/>
      </w:pPr>
      <w:r w:rsidRPr="001077B0">
        <w:rPr>
          <w:rFonts w:ascii="Segoe UI" w:hAnsi="Segoe UI" w:cs="Segoe UI"/>
          <w:b/>
          <w:bCs/>
        </w:rPr>
        <w:t>China has helped ease Iran’s international isolation</w:t>
      </w:r>
      <w:r w:rsidRPr="001077B0">
        <w:rPr>
          <w:rFonts w:ascii="Segoe UI" w:hAnsi="Segoe UI" w:cs="Segoe UI"/>
        </w:rPr>
        <w:t xml:space="preserve"> </w:t>
      </w:r>
      <w:r w:rsidRPr="001077B0">
        <w:rPr>
          <w:rFonts w:ascii="Segoe UI" w:hAnsi="Segoe UI" w:cs="Segoe UI"/>
          <w:b/>
          <w:bCs/>
        </w:rPr>
        <w:t>by facilitating its entrance into alternative multilateral institutions including the Shanghai Cooperation Organization (SCO) in 2023 and BRICS in 2024.</w:t>
      </w:r>
      <w:r w:rsidR="00874A78" w:rsidRPr="001077B0">
        <w:rPr>
          <w:vertAlign w:val="superscript"/>
        </w:rPr>
        <w:endnoteReference w:id="4"/>
      </w:r>
      <w:r w:rsidR="00874A78" w:rsidRPr="001077B0">
        <w:t xml:space="preserve"> Membership in these organizations brings Iran into closer alignment with China and Russia and helps China’s goal of using them to promote illiberal norms, help mitigate the impact of sanctions tools, and coordinate on security issues.</w:t>
      </w:r>
      <w:r w:rsidR="00C01A02" w:rsidRPr="001077B0">
        <w:t xml:space="preserve"> </w:t>
      </w:r>
      <w:r w:rsidR="00874A78" w:rsidRPr="001077B0">
        <w:t>Following the United States and Israel’s bombings of Iran in 2025, BRICS issued a statement expressing “grave concern” but has not taken a stance on the recent strikes, reflecting limitations to the group’s cohesion.</w:t>
      </w:r>
      <w:r w:rsidR="00874A78" w:rsidRPr="001077B0">
        <w:rPr>
          <w:vertAlign w:val="superscript"/>
        </w:rPr>
        <w:endnoteReference w:id="5"/>
      </w:r>
      <w:r w:rsidR="00C01A02" w:rsidRPr="001077B0">
        <w:rPr>
          <w:vertAlign w:val="superscript"/>
        </w:rPr>
        <w:t xml:space="preserve"> </w:t>
      </w:r>
      <w:r w:rsidR="00C01A02" w:rsidRPr="001077B0">
        <w:t xml:space="preserve"> </w:t>
      </w:r>
    </w:p>
    <w:p w14:paraId="3E24B1D6" w14:textId="6AFA618E" w:rsidR="00021BBE" w:rsidRPr="001077B0" w:rsidRDefault="0004470A" w:rsidP="00021BBE">
      <w:pPr>
        <w:pStyle w:val="ListBullet"/>
        <w:suppressAutoHyphens w:val="0"/>
        <w:rPr>
          <w:b/>
        </w:rPr>
      </w:pPr>
      <w:r w:rsidRPr="001077B0">
        <w:rPr>
          <w:b/>
          <w:bCs/>
        </w:rPr>
        <w:t>To date, Beijing has limited its official support for Iran after U.S. and Israeli strikes to diplomatic statements</w:t>
      </w:r>
      <w:r w:rsidR="00874A78" w:rsidRPr="001077B0">
        <w:t>. China</w:t>
      </w:r>
      <w:r w:rsidR="00C84F21" w:rsidRPr="001077B0">
        <w:t>’</w:t>
      </w:r>
      <w:r w:rsidR="00874A78" w:rsidRPr="001077B0">
        <w:t xml:space="preserve">s Ministry of Foreign Affairs and </w:t>
      </w:r>
      <w:r w:rsidR="00C84F21" w:rsidRPr="001077B0">
        <w:t xml:space="preserve">its permanent representative </w:t>
      </w:r>
      <w:r w:rsidR="00874A78" w:rsidRPr="001077B0">
        <w:t xml:space="preserve">to the UN </w:t>
      </w:r>
      <w:r w:rsidR="00874A78" w:rsidRPr="001077B0">
        <w:lastRenderedPageBreak/>
        <w:t>have stated that strikes on Iran are violations of international law, condemned the killing of Ayatollah Ali Khamenei, and called for immediate cessation of military operations and the reopening of dialogue.</w:t>
      </w:r>
      <w:r w:rsidR="00874A78" w:rsidRPr="001077B0">
        <w:rPr>
          <w:rStyle w:val="EndnoteReference"/>
        </w:rPr>
        <w:endnoteReference w:id="6"/>
      </w:r>
      <w:r w:rsidR="00874A78" w:rsidRPr="001077B0">
        <w:t xml:space="preserve"> While Beijing has not explicitly made a statement on Iran’s attacks on the Gulf states, China has condemned “indiscriminate attacks against civilians and non-military targets.”</w:t>
      </w:r>
      <w:r w:rsidR="00874A78" w:rsidRPr="001077B0">
        <w:rPr>
          <w:rStyle w:val="EndnoteReference"/>
        </w:rPr>
        <w:endnoteReference w:id="7"/>
      </w:r>
      <w:r w:rsidR="00874A78" w:rsidRPr="001077B0">
        <w:t xml:space="preserve"> In a call with his Iranian counterpart, China’s Foreign Minister Wang Yi both reiterated China’s support for Iran’s sovereignty and expressed confidence that Iran will “pay attention to the legitimate concerns of its neighbors.”</w:t>
      </w:r>
      <w:r w:rsidR="00874A78" w:rsidRPr="001077B0">
        <w:rPr>
          <w:rStyle w:val="EndnoteReference"/>
        </w:rPr>
        <w:endnoteReference w:id="8"/>
      </w:r>
      <w:r w:rsidR="00874A78" w:rsidRPr="001077B0">
        <w:t xml:space="preserve"> Beijing has avoided overt aid or direct military support for Iran, following its playbook for responding to other recent international conflicts involving partners like Russia and Venezuela.</w:t>
      </w:r>
      <w:r w:rsidR="00874A78" w:rsidRPr="001077B0">
        <w:rPr>
          <w:rStyle w:val="EndnoteReference"/>
          <w:rFonts w:ascii="Segoe UI" w:hAnsi="Segoe UI" w:cs="Segoe UI"/>
        </w:rPr>
        <w:endnoteReference w:id="9"/>
      </w:r>
      <w:r w:rsidR="00874A78" w:rsidRPr="001077B0">
        <w:t xml:space="preserve"> </w:t>
      </w:r>
    </w:p>
    <w:p w14:paraId="35DEF448" w14:textId="36463324" w:rsidR="00874A78" w:rsidRPr="001077B0" w:rsidRDefault="00874A78" w:rsidP="00021BBE">
      <w:pPr>
        <w:pStyle w:val="Heading1topofsection"/>
      </w:pPr>
      <w:r w:rsidRPr="001077B0">
        <w:t>Security Cooperation</w:t>
      </w:r>
    </w:p>
    <w:p w14:paraId="1C5AFFA4" w14:textId="3EAEEA0E" w:rsidR="00276229" w:rsidRPr="001077B0" w:rsidRDefault="00874A78" w:rsidP="00021BBE">
      <w:pPr>
        <w:pStyle w:val="ListBullet"/>
        <w:suppressAutoHyphens w:val="0"/>
        <w:rPr>
          <w:rFonts w:ascii="Segoe UI" w:hAnsi="Segoe UI" w:cs="Segoe UI"/>
        </w:rPr>
      </w:pPr>
      <w:r w:rsidRPr="001077B0">
        <w:t xml:space="preserve">China was a major supplier of </w:t>
      </w:r>
      <w:r w:rsidR="00095C68" w:rsidRPr="001077B0">
        <w:t>conventional weapons</w:t>
      </w:r>
      <w:r w:rsidRPr="001077B0">
        <w:t xml:space="preserve"> to Iran in the 1980s but</w:t>
      </w:r>
      <w:r w:rsidR="00F95C1E" w:rsidRPr="001077B0">
        <w:t xml:space="preserve"> largely stopped transfers</w:t>
      </w:r>
      <w:r w:rsidRPr="001077B0">
        <w:t xml:space="preserve"> in 2015 after UN Security Council Resolution 2231 increased international</w:t>
      </w:r>
      <w:r w:rsidR="00C01A02" w:rsidRPr="001077B0">
        <w:t xml:space="preserve"> </w:t>
      </w:r>
      <w:r w:rsidRPr="001077B0">
        <w:t>scrutiny of such transfers.</w:t>
      </w:r>
      <w:r w:rsidRPr="001077B0">
        <w:rPr>
          <w:vertAlign w:val="superscript"/>
        </w:rPr>
        <w:endnoteReference w:id="10"/>
      </w:r>
      <w:r w:rsidR="004B7FB2" w:rsidRPr="001077B0">
        <w:t xml:space="preserve"> </w:t>
      </w:r>
      <w:r w:rsidRPr="001077B0">
        <w:rPr>
          <w:rFonts w:ascii="Segoe UI" w:hAnsi="Segoe UI" w:cs="Segoe UI"/>
        </w:rPr>
        <w:t xml:space="preserve">In recent years, security cooperation has shifted toward </w:t>
      </w:r>
      <w:r w:rsidRPr="001077B0">
        <w:rPr>
          <w:rFonts w:ascii="Segoe UI" w:hAnsi="Segoe UI" w:cs="Segoe UI"/>
          <w:b/>
          <w:bCs/>
        </w:rPr>
        <w:t>dual-use technology sales and transfers of defense-related technologies</w:t>
      </w:r>
      <w:r w:rsidRPr="001077B0">
        <w:rPr>
          <w:rFonts w:ascii="Segoe UI" w:hAnsi="Segoe UI" w:cs="Segoe UI"/>
        </w:rPr>
        <w:t>, including those relevant to missile and drone development.</w:t>
      </w:r>
      <w:r w:rsidR="00F4281A" w:rsidRPr="001077B0">
        <w:rPr>
          <w:rStyle w:val="EndnoteReference"/>
          <w:rFonts w:ascii="Segoe UI" w:hAnsi="Segoe UI" w:cs="Segoe UI"/>
        </w:rPr>
        <w:endnoteReference w:id="11"/>
      </w:r>
      <w:r w:rsidRPr="001077B0">
        <w:rPr>
          <w:rFonts w:ascii="Segoe UI" w:hAnsi="Segoe UI" w:cs="Segoe UI"/>
        </w:rPr>
        <w:t xml:space="preserve"> Chinese components—including sensors, voltage converters, and semiconductors—have been found in Iranian drones, both </w:t>
      </w:r>
      <w:r w:rsidR="00583ABA" w:rsidRPr="001077B0">
        <w:rPr>
          <w:rFonts w:ascii="Segoe UI" w:hAnsi="Segoe UI" w:cs="Segoe UI"/>
        </w:rPr>
        <w:t>the</w:t>
      </w:r>
      <w:r w:rsidR="00C84F21" w:rsidRPr="001077B0">
        <w:rPr>
          <w:rFonts w:ascii="Segoe UI" w:hAnsi="Segoe UI" w:cs="Segoe UI"/>
        </w:rPr>
        <w:t xml:space="preserve"> drones</w:t>
      </w:r>
      <w:r w:rsidRPr="001077B0">
        <w:rPr>
          <w:rFonts w:ascii="Segoe UI" w:hAnsi="Segoe UI" w:cs="Segoe UI"/>
        </w:rPr>
        <w:t xml:space="preserve"> used by its regional proxies and </w:t>
      </w:r>
      <w:r w:rsidR="00583ABA" w:rsidRPr="001077B0">
        <w:rPr>
          <w:rFonts w:ascii="Segoe UI" w:hAnsi="Segoe UI" w:cs="Segoe UI"/>
        </w:rPr>
        <w:t>those</w:t>
      </w:r>
      <w:r w:rsidRPr="001077B0">
        <w:rPr>
          <w:rFonts w:ascii="Segoe UI" w:hAnsi="Segoe UI" w:cs="Segoe UI"/>
        </w:rPr>
        <w:t xml:space="preserve"> exported to Russia for use in Ukraine.</w:t>
      </w:r>
      <w:r w:rsidRPr="001077B0">
        <w:rPr>
          <w:rFonts w:ascii="Segoe UI" w:hAnsi="Segoe UI" w:cs="Segoe UI"/>
          <w:vertAlign w:val="superscript"/>
        </w:rPr>
        <w:endnoteReference w:id="12"/>
      </w:r>
      <w:r w:rsidRPr="001077B0">
        <w:rPr>
          <w:rFonts w:ascii="Segoe UI" w:hAnsi="Segoe UI" w:cs="Segoe UI"/>
        </w:rPr>
        <w:t xml:space="preserve"> </w:t>
      </w:r>
    </w:p>
    <w:p w14:paraId="3D29AF21" w14:textId="21BBC4FB" w:rsidR="00874A78" w:rsidRPr="001077B0" w:rsidRDefault="00874A78" w:rsidP="00021BBE">
      <w:pPr>
        <w:pStyle w:val="ListBullet"/>
        <w:suppressAutoHyphens w:val="0"/>
      </w:pPr>
      <w:r w:rsidRPr="001077B0">
        <w:rPr>
          <w:rFonts w:ascii="Segoe UI" w:hAnsi="Segoe UI" w:cs="Segoe UI"/>
        </w:rPr>
        <w:t xml:space="preserve">In the days leading up to the U.S. and Israeli strikes in February 2026, </w:t>
      </w:r>
      <w:r w:rsidR="0004470A" w:rsidRPr="001077B0">
        <w:rPr>
          <w:rFonts w:ascii="Segoe UI" w:hAnsi="Segoe UI" w:cs="Segoe UI"/>
          <w:b/>
          <w:bCs/>
        </w:rPr>
        <w:t>several anonymously sourced reports indicated China was engaged in direct arms sales to Iran--offensive drones and a nearly finalized deal to sell anti-ship cruise missiles, though the two sides had not agreed on a delivery date.</w:t>
      </w:r>
      <w:r w:rsidRPr="001077B0">
        <w:rPr>
          <w:rStyle w:val="EndnoteReference"/>
          <w:rFonts w:ascii="Segoe UI" w:hAnsi="Segoe UI" w:cs="Segoe UI"/>
        </w:rPr>
        <w:endnoteReference w:id="13"/>
      </w:r>
      <w:r w:rsidRPr="001077B0">
        <w:rPr>
          <w:rFonts w:ascii="Segoe UI" w:hAnsi="Segoe UI" w:cs="Segoe UI"/>
        </w:rPr>
        <w:t xml:space="preserve"> If confirmed, these reports could indicate a shift toward a less restrained Chinese approach to providing Iran with kinetic military capabilities.</w:t>
      </w:r>
      <w:r w:rsidR="00C84F21" w:rsidRPr="001077B0">
        <w:rPr>
          <w:rFonts w:ascii="Segoe UI" w:hAnsi="Segoe UI" w:cs="Segoe UI"/>
        </w:rPr>
        <w:t xml:space="preserve"> </w:t>
      </w:r>
      <w:r w:rsidRPr="001077B0">
        <w:t xml:space="preserve">Reports indicate that China has allowed sales of a component of rocket fuel to Iran. During the week of March 2, 2026, </w:t>
      </w:r>
      <w:r w:rsidRPr="001077B0">
        <w:rPr>
          <w:b/>
          <w:bCs/>
        </w:rPr>
        <w:t xml:space="preserve">two state-owned Iranian vessels departed China’s </w:t>
      </w:r>
      <w:proofErr w:type="spellStart"/>
      <w:r w:rsidRPr="001077B0">
        <w:rPr>
          <w:b/>
          <w:bCs/>
        </w:rPr>
        <w:t>Gaolan</w:t>
      </w:r>
      <w:proofErr w:type="spellEnd"/>
      <w:r w:rsidRPr="001077B0">
        <w:rPr>
          <w:b/>
          <w:bCs/>
        </w:rPr>
        <w:t xml:space="preserve"> Port to Iran and are believed to be transporting sodium </w:t>
      </w:r>
      <w:r w:rsidRPr="001077B0">
        <w:rPr>
          <w:b/>
          <w:bCs/>
        </w:rPr>
        <w:t>perchlorate</w:t>
      </w:r>
      <w:r w:rsidRPr="001077B0">
        <w:t>, a key precursor used in solid rocket fuel for missiles.</w:t>
      </w:r>
      <w:r w:rsidRPr="001077B0">
        <w:rPr>
          <w:rStyle w:val="EndnoteReference"/>
          <w:rFonts w:ascii="Times New Roman" w:hAnsi="Times New Roman" w:cs="Times New Roman"/>
        </w:rPr>
        <w:endnoteReference w:id="14"/>
      </w:r>
      <w:r w:rsidRPr="001077B0">
        <w:t xml:space="preserve"> This follows a similar incident in January 2025, when two different Iranian ships docked in China and were loaded with approximately 1,000 tons of sodium perchlorate.</w:t>
      </w:r>
      <w:r w:rsidRPr="001077B0">
        <w:rPr>
          <w:rStyle w:val="EndnoteReference"/>
          <w:rFonts w:cstheme="minorHAnsi"/>
        </w:rPr>
        <w:endnoteReference w:id="15"/>
      </w:r>
    </w:p>
    <w:p w14:paraId="03305757" w14:textId="63F71109" w:rsidR="00874A78" w:rsidRPr="001077B0" w:rsidRDefault="0004470A" w:rsidP="00021BBE">
      <w:pPr>
        <w:pStyle w:val="ListBullet"/>
        <w:suppressAutoHyphens w:val="0"/>
        <w:rPr>
          <w:rFonts w:ascii="Segoe UI" w:hAnsi="Segoe UI" w:cs="Segoe UI"/>
        </w:rPr>
      </w:pPr>
      <w:r w:rsidRPr="001077B0">
        <w:rPr>
          <w:rFonts w:ascii="Segoe UI" w:hAnsi="Segoe UI" w:cs="Segoe UI"/>
          <w:b/>
          <w:bCs/>
        </w:rPr>
        <w:t>In 2021, China gave Iran full military access to its BeiDou satellite navigation system.</w:t>
      </w:r>
      <w:r w:rsidR="00874A78" w:rsidRPr="001077B0">
        <w:rPr>
          <w:rFonts w:ascii="Segoe UI" w:hAnsi="Segoe UI" w:cs="Segoe UI"/>
          <w:vertAlign w:val="superscript"/>
        </w:rPr>
        <w:endnoteReference w:id="16"/>
      </w:r>
      <w:r w:rsidR="00874A78" w:rsidRPr="001077B0">
        <w:rPr>
          <w:rFonts w:ascii="Segoe UI" w:hAnsi="Segoe UI" w:cs="Segoe UI"/>
        </w:rPr>
        <w:t xml:space="preserve"> It is not clear, however, the extent to which Iran’s military resources use BeiDou or U.S.-controlled GPS.</w:t>
      </w:r>
      <w:r w:rsidR="00874A78" w:rsidRPr="001077B0">
        <w:rPr>
          <w:rFonts w:ascii="Segoe UI" w:hAnsi="Segoe UI" w:cs="Segoe UI"/>
          <w:vertAlign w:val="superscript"/>
        </w:rPr>
        <w:endnoteReference w:id="17"/>
      </w:r>
      <w:r w:rsidR="00874A78" w:rsidRPr="001077B0">
        <w:rPr>
          <w:rFonts w:ascii="Segoe UI" w:hAnsi="Segoe UI" w:cs="Segoe UI"/>
        </w:rPr>
        <w:t xml:space="preserve"> While plausible that Iran is currently relying on BeiDou for its drone and missile attacks throughout the Middle East, </w:t>
      </w:r>
      <w:r w:rsidR="00095C68" w:rsidRPr="001077B0">
        <w:rPr>
          <w:rFonts w:ascii="Segoe UI" w:hAnsi="Segoe UI" w:cs="Segoe UI"/>
        </w:rPr>
        <w:t xml:space="preserve">and </w:t>
      </w:r>
      <w:r w:rsidR="00095C68" w:rsidRPr="001077B0">
        <w:rPr>
          <w:rFonts w:ascii="Segoe UI" w:hAnsi="Segoe UI" w:cs="Segoe UI"/>
          <w:i/>
          <w:iCs/>
        </w:rPr>
        <w:t>Al Jazeera</w:t>
      </w:r>
      <w:r w:rsidR="00095C68" w:rsidRPr="001077B0">
        <w:rPr>
          <w:rFonts w:ascii="Segoe UI" w:hAnsi="Segoe UI" w:cs="Segoe UI"/>
        </w:rPr>
        <w:t xml:space="preserve"> has cited experts who believe this to be the case, </w:t>
      </w:r>
      <w:r w:rsidR="00874A78" w:rsidRPr="001077B0">
        <w:rPr>
          <w:rFonts w:ascii="Segoe UI" w:hAnsi="Segoe UI" w:cs="Segoe UI"/>
        </w:rPr>
        <w:t xml:space="preserve">open-source evidence does not </w:t>
      </w:r>
      <w:r w:rsidRPr="001077B0">
        <w:rPr>
          <w:rFonts w:ascii="Segoe UI" w:hAnsi="Segoe UI" w:cs="Segoe UI"/>
        </w:rPr>
        <w:t xml:space="preserve">yet </w:t>
      </w:r>
      <w:r w:rsidR="00874A78" w:rsidRPr="001077B0">
        <w:rPr>
          <w:rFonts w:ascii="Segoe UI" w:hAnsi="Segoe UI" w:cs="Segoe UI"/>
        </w:rPr>
        <w:t>allow for a definitive assessment.</w:t>
      </w:r>
      <w:r w:rsidR="00095C68" w:rsidRPr="001077B0">
        <w:rPr>
          <w:rStyle w:val="EndnoteReference"/>
          <w:rFonts w:ascii="Segoe UI" w:hAnsi="Segoe UI" w:cs="Segoe UI"/>
        </w:rPr>
        <w:endnoteReference w:id="18"/>
      </w:r>
    </w:p>
    <w:p w14:paraId="7093499E" w14:textId="77777777" w:rsidR="00874A78" w:rsidRPr="001077B0" w:rsidRDefault="00874A78" w:rsidP="00021BBE">
      <w:pPr>
        <w:pStyle w:val="ListBullet"/>
        <w:suppressAutoHyphens w:val="0"/>
      </w:pPr>
      <w:r w:rsidRPr="001077B0">
        <w:rPr>
          <w:rFonts w:ascii="Segoe UI" w:hAnsi="Segoe UI" w:cs="Segoe UI"/>
        </w:rPr>
        <w:t xml:space="preserve">At the same time, </w:t>
      </w:r>
      <w:r w:rsidRPr="001077B0">
        <w:rPr>
          <w:rFonts w:ascii="Segoe UI" w:hAnsi="Segoe UI" w:cs="Segoe UI"/>
          <w:b/>
          <w:bCs/>
        </w:rPr>
        <w:t>China has</w:t>
      </w:r>
      <w:r w:rsidRPr="001077B0">
        <w:rPr>
          <w:rFonts w:ascii="Segoe UI" w:hAnsi="Segoe UI" w:cs="Segoe UI"/>
        </w:rPr>
        <w:t xml:space="preserve"> </w:t>
      </w:r>
      <w:r w:rsidRPr="001077B0">
        <w:rPr>
          <w:rFonts w:ascii="Segoe UI" w:hAnsi="Segoe UI" w:cs="Segoe UI"/>
          <w:b/>
          <w:bCs/>
        </w:rPr>
        <w:t>avoided formal defense commitments to Iran</w:t>
      </w:r>
      <w:r w:rsidRPr="001077B0">
        <w:rPr>
          <w:rFonts w:ascii="Segoe UI" w:hAnsi="Segoe UI" w:cs="Segoe UI"/>
        </w:rPr>
        <w:t>, underscoring the asymmetric nature of the relationship. Tehran seeks deeper strategic alignment, while Beijing prioritizes balancing relations with other Middle Eastern partners and limiting security entanglements.</w:t>
      </w:r>
    </w:p>
    <w:p w14:paraId="7F217877" w14:textId="345C43B4" w:rsidR="00874A78" w:rsidRPr="001077B0" w:rsidRDefault="00874A78" w:rsidP="00021BBE">
      <w:pPr>
        <w:pStyle w:val="ListBullet"/>
        <w:suppressAutoHyphens w:val="0"/>
      </w:pPr>
      <w:r w:rsidRPr="001077B0">
        <w:rPr>
          <w:rFonts w:ascii="Segoe UI" w:hAnsi="Segoe UI" w:cs="Segoe UI"/>
          <w:b/>
          <w:bCs/>
        </w:rPr>
        <w:t xml:space="preserve">China’s direct military engagements with Iran occur primarily through trilateral or multilateral activities. </w:t>
      </w:r>
      <w:r w:rsidRPr="001077B0">
        <w:rPr>
          <w:rFonts w:ascii="Segoe UI" w:hAnsi="Segoe UI" w:cs="Segoe UI"/>
        </w:rPr>
        <w:t>Purely bilateral defense engagements between China’s People’s Liberation Army (PLA) and Iran</w:t>
      </w:r>
      <w:r w:rsidR="00095C68" w:rsidRPr="001077B0">
        <w:rPr>
          <w:rFonts w:ascii="Segoe UI" w:hAnsi="Segoe UI" w:cs="Segoe UI"/>
        </w:rPr>
        <w:t xml:space="preserve"> occur infrequently</w:t>
      </w:r>
      <w:r w:rsidRPr="001077B0">
        <w:rPr>
          <w:rFonts w:ascii="Segoe UI" w:hAnsi="Segoe UI" w:cs="Segoe UI"/>
        </w:rPr>
        <w:t>, with the last bilateral meeting occurring in 2022.</w:t>
      </w:r>
      <w:r w:rsidRPr="001077B0">
        <w:rPr>
          <w:rStyle w:val="EndnoteReference"/>
          <w:rFonts w:ascii="Segoe UI" w:hAnsi="Segoe UI" w:cs="Segoe UI"/>
        </w:rPr>
        <w:endnoteReference w:id="19"/>
      </w:r>
      <w:r w:rsidRPr="001077B0">
        <w:t xml:space="preserve"> </w:t>
      </w:r>
      <w:r w:rsidRPr="001077B0">
        <w:rPr>
          <w:rFonts w:ascii="Segoe UI" w:hAnsi="Segoe UI" w:cs="Segoe UI"/>
        </w:rPr>
        <w:t>Instead, the PLA has participated in regular trilateral and multilateral military activities involving Iran, including an annual joint naval exercise between China, Iran, and Russia first held in 2019.</w:t>
      </w:r>
      <w:r w:rsidRPr="001077B0">
        <w:rPr>
          <w:rStyle w:val="EndnoteReference"/>
          <w:rFonts w:ascii="Segoe UI" w:hAnsi="Segoe UI" w:cs="Segoe UI"/>
        </w:rPr>
        <w:endnoteReference w:id="20"/>
      </w:r>
      <w:r w:rsidRPr="001077B0">
        <w:rPr>
          <w:rFonts w:ascii="Segoe UI" w:hAnsi="Segoe UI" w:cs="Segoe UI"/>
        </w:rPr>
        <w:t xml:space="preserve"> While reporting on February 17, 2026</w:t>
      </w:r>
      <w:r w:rsidR="00B85F98" w:rsidRPr="001077B0">
        <w:rPr>
          <w:rFonts w:ascii="Segoe UI" w:hAnsi="Segoe UI" w:cs="Segoe UI"/>
        </w:rPr>
        <w:t>,</w:t>
      </w:r>
      <w:r w:rsidRPr="001077B0">
        <w:rPr>
          <w:rFonts w:ascii="Segoe UI" w:hAnsi="Segoe UI" w:cs="Segoe UI"/>
        </w:rPr>
        <w:t xml:space="preserve"> indicated that the 2026 iteration of the exercise would be held in the Strait of Hormuz, it appears China did not join Iran and Russia this year.</w:t>
      </w:r>
      <w:r w:rsidRPr="001077B0">
        <w:rPr>
          <w:rStyle w:val="EndnoteReference"/>
          <w:rFonts w:ascii="Segoe UI" w:hAnsi="Segoe UI" w:cs="Segoe UI"/>
        </w:rPr>
        <w:endnoteReference w:id="21"/>
      </w:r>
      <w:r w:rsidR="00C01A02" w:rsidRPr="001077B0">
        <w:rPr>
          <w:rFonts w:ascii="Segoe UI" w:hAnsi="Segoe UI" w:cs="Segoe UI"/>
        </w:rPr>
        <w:t xml:space="preserve"> </w:t>
      </w:r>
    </w:p>
    <w:p w14:paraId="346FBF44" w14:textId="5AF07208" w:rsidR="00874A78" w:rsidRPr="001077B0" w:rsidRDefault="00874A78" w:rsidP="00021BBE">
      <w:pPr>
        <w:pStyle w:val="ListBullet"/>
        <w:suppressAutoHyphens w:val="0"/>
      </w:pPr>
      <w:r w:rsidRPr="001077B0">
        <w:rPr>
          <w:rFonts w:ascii="Segoe UI" w:hAnsi="Segoe UI" w:cs="Segoe UI"/>
          <w:b/>
          <w:bCs/>
        </w:rPr>
        <w:t>China and Iran have used the SCO and BRIC</w:t>
      </w:r>
      <w:r w:rsidR="00B85F98" w:rsidRPr="001077B0">
        <w:rPr>
          <w:rFonts w:ascii="Segoe UI" w:hAnsi="Segoe UI" w:cs="Segoe UI"/>
          <w:b/>
          <w:bCs/>
        </w:rPr>
        <w:t>S</w:t>
      </w:r>
      <w:r w:rsidRPr="001077B0">
        <w:rPr>
          <w:rFonts w:ascii="Segoe UI" w:hAnsi="Segoe UI" w:cs="Segoe UI"/>
          <w:b/>
          <w:bCs/>
        </w:rPr>
        <w:t xml:space="preserve"> to deepen military cooperation.</w:t>
      </w:r>
      <w:r w:rsidR="00C01A02" w:rsidRPr="001077B0">
        <w:rPr>
          <w:rFonts w:ascii="Segoe UI" w:hAnsi="Segoe UI" w:cs="Segoe UI"/>
          <w:b/>
          <w:bCs/>
        </w:rPr>
        <w:t xml:space="preserve"> </w:t>
      </w:r>
      <w:r w:rsidRPr="001077B0">
        <w:rPr>
          <w:rFonts w:ascii="Segoe UI" w:hAnsi="Segoe UI" w:cs="Segoe UI"/>
        </w:rPr>
        <w:t>Iran hosted China and other members for an SCO military exercise in December 2025.</w:t>
      </w:r>
      <w:r w:rsidRPr="001077B0">
        <w:rPr>
          <w:rFonts w:ascii="Segoe UI" w:hAnsi="Segoe UI" w:cs="Segoe UI"/>
          <w:vertAlign w:val="superscript"/>
        </w:rPr>
        <w:endnoteReference w:id="22"/>
      </w:r>
      <w:r w:rsidRPr="001077B0">
        <w:rPr>
          <w:rFonts w:ascii="Segoe UI" w:hAnsi="Segoe UI" w:cs="Segoe UI"/>
          <w:vertAlign w:val="superscript"/>
        </w:rPr>
        <w:t xml:space="preserve"> </w:t>
      </w:r>
      <w:r w:rsidRPr="001077B0">
        <w:rPr>
          <w:rFonts w:ascii="Segoe UI" w:hAnsi="Segoe UI" w:cs="Segoe UI"/>
        </w:rPr>
        <w:t>In January 2026, Iran intended to participate in a China-led joint naval exercise with BRICS Plus countries, including Russia, South Africa, the UAE, and other observers.</w:t>
      </w:r>
      <w:r w:rsidR="00C01A02" w:rsidRPr="001077B0">
        <w:rPr>
          <w:rFonts w:ascii="Segoe UI" w:hAnsi="Segoe UI" w:cs="Segoe UI"/>
        </w:rPr>
        <w:t xml:space="preserve"> </w:t>
      </w:r>
      <w:r w:rsidRPr="001077B0">
        <w:rPr>
          <w:rFonts w:ascii="Segoe UI" w:hAnsi="Segoe UI" w:cs="Segoe UI"/>
        </w:rPr>
        <w:t>The host of the exercise, South Africa, called on Iran to withdraw from the event and apparently it pulled out.</w:t>
      </w:r>
      <w:r w:rsidRPr="001077B0">
        <w:rPr>
          <w:rStyle w:val="EndnoteReference"/>
          <w:rFonts w:ascii="Segoe UI" w:hAnsi="Segoe UI" w:cs="Segoe UI"/>
        </w:rPr>
        <w:endnoteReference w:id="23"/>
      </w:r>
      <w:r w:rsidRPr="001077B0">
        <w:rPr>
          <w:rFonts w:ascii="Segoe UI" w:hAnsi="Segoe UI" w:cs="Segoe UI"/>
        </w:rPr>
        <w:t xml:space="preserve"> </w:t>
      </w:r>
    </w:p>
    <w:p w14:paraId="41484E42" w14:textId="18AF5BE1" w:rsidR="003040E9" w:rsidRPr="001077B0" w:rsidRDefault="003040E9" w:rsidP="00021BBE">
      <w:pPr>
        <w:sectPr w:rsidR="003040E9" w:rsidRPr="001077B0" w:rsidSect="00392B25">
          <w:headerReference w:type="default" r:id="rId16"/>
          <w:footnotePr>
            <w:numFmt w:val="chicago"/>
          </w:footnotePr>
          <w:endnotePr>
            <w:numFmt w:val="decimal"/>
          </w:endnotePr>
          <w:type w:val="continuous"/>
          <w:pgSz w:w="12240" w:h="15840"/>
          <w:pgMar w:top="1987" w:right="1080" w:bottom="1267" w:left="1080" w:header="720" w:footer="907" w:gutter="0"/>
          <w:cols w:num="2" w:space="360"/>
          <w:docGrid w:linePitch="360"/>
          <w15:footnoteColumns w:val="1"/>
        </w:sectPr>
      </w:pPr>
    </w:p>
    <w:p w14:paraId="09864F9D" w14:textId="0AB76258" w:rsidR="005A1A5F" w:rsidRPr="001077B0" w:rsidRDefault="005A1A5F" w:rsidP="00021BBE">
      <w:pPr>
        <w:pStyle w:val="FigureTableTitle"/>
        <w:spacing w:before="240"/>
      </w:pPr>
      <w:r w:rsidRPr="001077B0">
        <w:lastRenderedPageBreak/>
        <w:t xml:space="preserve">Figure: </w:t>
      </w:r>
      <w:r w:rsidR="009C0ED9" w:rsidRPr="001077B0">
        <w:t>Iran</w:t>
      </w:r>
      <w:r w:rsidR="005977E8" w:rsidRPr="001077B0">
        <w:t xml:space="preserve">ian Crude </w:t>
      </w:r>
      <w:r w:rsidR="009C0ED9" w:rsidRPr="001077B0">
        <w:t>Oil Export</w:t>
      </w:r>
      <w:r w:rsidR="005977E8" w:rsidRPr="001077B0">
        <w:t xml:space="preserve"> </w:t>
      </w:r>
      <w:r w:rsidR="009C0ED9" w:rsidRPr="001077B0">
        <w:t>Destination</w:t>
      </w:r>
      <w:r w:rsidR="005977E8" w:rsidRPr="001077B0">
        <w:t xml:space="preserve"> (Three-Month Moving Average), January 2020</w:t>
      </w:r>
      <w:r w:rsidR="00B85F98" w:rsidRPr="001077B0">
        <w:rPr>
          <w:rFonts w:cstheme="minorHAnsi"/>
        </w:rPr>
        <w:t>–</w:t>
      </w:r>
      <w:r w:rsidR="005977E8" w:rsidRPr="001077B0">
        <w:t>January 2026</w:t>
      </w:r>
    </w:p>
    <w:p w14:paraId="6B678F5D" w14:textId="7027B876" w:rsidR="005A1A5F" w:rsidRPr="001077B0" w:rsidRDefault="009C0ED9" w:rsidP="00021BBE">
      <w:pPr>
        <w:pStyle w:val="FigurePlacer"/>
        <w:jc w:val="center"/>
      </w:pPr>
      <w:r w:rsidRPr="001077B0">
        <w:rPr>
          <w:noProof/>
        </w:rPr>
        <w:drawing>
          <wp:inline distT="0" distB="0" distL="0" distR="0" wp14:anchorId="12A927EB" wp14:editId="25E2CC6B">
            <wp:extent cx="4572000" cy="2981325"/>
            <wp:effectExtent l="0" t="0" r="0" b="9525"/>
            <wp:docPr id="669525193" name="Chart 1">
              <a:extLst xmlns:a="http://schemas.openxmlformats.org/drawingml/2006/main">
                <a:ext uri="{FF2B5EF4-FFF2-40B4-BE49-F238E27FC236}">
                  <a16:creationId xmlns:a16="http://schemas.microsoft.com/office/drawing/2014/main" id="{D5DBDDF5-D1D8-4685-96D0-9E7F66551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F35B93" w14:textId="0140E98F" w:rsidR="00B85F98" w:rsidRPr="001077B0" w:rsidRDefault="007D18A6" w:rsidP="00021BBE">
      <w:pPr>
        <w:pStyle w:val="FigureTableNoteSource"/>
        <w:spacing w:after="0"/>
        <w:rPr>
          <w:rStyle w:val="FigureTableNoteSourceLead-In"/>
          <w:rFonts w:eastAsiaTheme="minorEastAsia"/>
        </w:rPr>
      </w:pPr>
      <w:r w:rsidRPr="001077B0">
        <w:rPr>
          <w:rStyle w:val="FigureTableNoteSourceLead-In"/>
        </w:rPr>
        <w:t xml:space="preserve">Note: </w:t>
      </w:r>
      <w:r w:rsidRPr="00C923AA">
        <w:rPr>
          <w:iCs/>
          <w:color w:val="auto"/>
        </w:rPr>
        <w:t xml:space="preserve">This source estimates exports and ship-to-ship transfers of Iranian oil and gas condensate using </w:t>
      </w:r>
      <w:r w:rsidR="00B85F98" w:rsidRPr="00C923AA">
        <w:rPr>
          <w:iCs/>
          <w:color w:val="auto"/>
        </w:rPr>
        <w:t>the automatic identification system (</w:t>
      </w:r>
      <w:r w:rsidRPr="00C923AA">
        <w:rPr>
          <w:iCs/>
          <w:color w:val="auto"/>
        </w:rPr>
        <w:t>AIS</w:t>
      </w:r>
      <w:r w:rsidR="00B85F98" w:rsidRPr="00C923AA">
        <w:rPr>
          <w:iCs/>
          <w:color w:val="auto"/>
        </w:rPr>
        <w:t>)</w:t>
      </w:r>
      <w:r w:rsidRPr="00C923AA">
        <w:rPr>
          <w:iCs/>
          <w:color w:val="auto"/>
        </w:rPr>
        <w:t>, satellite imagery, vessel comparison and tanker classification, and cargo datasets.</w:t>
      </w:r>
    </w:p>
    <w:p w14:paraId="7EF3D25A" w14:textId="6FA8F60A" w:rsidR="005A1A5F" w:rsidRPr="001077B0" w:rsidRDefault="005A1A5F" w:rsidP="00021BBE">
      <w:pPr>
        <w:pStyle w:val="FigureTableNoteSource"/>
        <w:sectPr w:rsidR="005A1A5F" w:rsidRPr="001077B0" w:rsidSect="005A1A5F">
          <w:footnotePr>
            <w:numFmt w:val="chicago"/>
          </w:footnotePr>
          <w:endnotePr>
            <w:numFmt w:val="decimal"/>
          </w:endnotePr>
          <w:type w:val="continuous"/>
          <w:pgSz w:w="12240" w:h="15840"/>
          <w:pgMar w:top="1987" w:right="1080" w:bottom="1267" w:left="1080" w:header="720" w:footer="907" w:gutter="0"/>
          <w:cols w:space="360"/>
          <w:docGrid w:linePitch="360"/>
          <w15:footnoteColumns w:val="1"/>
        </w:sectPr>
      </w:pPr>
      <w:r w:rsidRPr="001077B0">
        <w:rPr>
          <w:rStyle w:val="FigureTableNoteSourceLead-In"/>
        </w:rPr>
        <w:t>Source:</w:t>
      </w:r>
      <w:r w:rsidRPr="001077B0">
        <w:t xml:space="preserve"> </w:t>
      </w:r>
      <w:r w:rsidR="009C0ED9" w:rsidRPr="001077B0">
        <w:t>United Against Nuclear Iran, “Iran Tanker Tracker.”</w:t>
      </w:r>
    </w:p>
    <w:p w14:paraId="3E5746D2" w14:textId="6044BC87" w:rsidR="005A1A5F" w:rsidRPr="001077B0" w:rsidRDefault="00166021" w:rsidP="00021BBE">
      <w:pPr>
        <w:pStyle w:val="Heading1topofsection"/>
      </w:pPr>
      <w:r w:rsidRPr="001077B0">
        <w:t xml:space="preserve">Trade and </w:t>
      </w:r>
      <w:r w:rsidR="005A1A5F" w:rsidRPr="001077B0">
        <w:t>Investment</w:t>
      </w:r>
    </w:p>
    <w:p w14:paraId="29E77F86" w14:textId="445E1DE3" w:rsidR="005A1A5F" w:rsidRPr="001077B0" w:rsidRDefault="005D6F76" w:rsidP="00021BBE">
      <w:pPr>
        <w:pStyle w:val="ListBullet"/>
        <w:suppressAutoHyphens w:val="0"/>
      </w:pPr>
      <w:r w:rsidRPr="001077B0">
        <w:rPr>
          <w:b/>
          <w:bCs/>
        </w:rPr>
        <w:t>China</w:t>
      </w:r>
      <w:r w:rsidR="00ED11C5" w:rsidRPr="001077B0">
        <w:rPr>
          <w:b/>
          <w:bCs/>
        </w:rPr>
        <w:t xml:space="preserve"> is Iran’s largest trading partner </w:t>
      </w:r>
      <w:r w:rsidR="00ED11C5" w:rsidRPr="001077B0">
        <w:t>and maintains substantial commercial ties despite</w:t>
      </w:r>
      <w:r w:rsidR="00DE655D" w:rsidRPr="001077B0">
        <w:t xml:space="preserve"> </w:t>
      </w:r>
      <w:r w:rsidR="00ED11C5" w:rsidRPr="001077B0">
        <w:t xml:space="preserve">U.S. and multilateral sanctions on Tehran. </w:t>
      </w:r>
      <w:r w:rsidR="00070EA8" w:rsidRPr="001077B0">
        <w:t>China reported $9.96 billion in total bilateral trade with Iran in 2025.</w:t>
      </w:r>
      <w:r w:rsidR="00070EA8" w:rsidRPr="001077B0">
        <w:rPr>
          <w:rStyle w:val="EndnoteReference"/>
        </w:rPr>
        <w:endnoteReference w:id="24"/>
      </w:r>
      <w:r w:rsidR="00070EA8" w:rsidRPr="001077B0">
        <w:t xml:space="preserve"> However,</w:t>
      </w:r>
      <w:r w:rsidR="00DE655D" w:rsidRPr="001077B0">
        <w:t xml:space="preserve"> </w:t>
      </w:r>
      <w:r w:rsidR="00F41F2B" w:rsidRPr="001077B0">
        <w:t>this does not include roughly $3</w:t>
      </w:r>
      <w:r w:rsidR="0077618A" w:rsidRPr="001077B0">
        <w:t>1.2</w:t>
      </w:r>
      <w:r w:rsidR="00F41F2B" w:rsidRPr="001077B0">
        <w:t xml:space="preserve"> billion</w:t>
      </w:r>
      <w:r w:rsidR="007059D8" w:rsidRPr="001077B0">
        <w:rPr>
          <w:rStyle w:val="FootnoteReference"/>
        </w:rPr>
        <w:footnoteReference w:id="2"/>
      </w:r>
      <w:r w:rsidR="00F41F2B" w:rsidRPr="001077B0">
        <w:t xml:space="preserve"> in </w:t>
      </w:r>
      <w:r w:rsidR="00070EA8" w:rsidRPr="001077B0">
        <w:t>unreported</w:t>
      </w:r>
      <w:r w:rsidR="00F41F2B" w:rsidRPr="001077B0">
        <w:t xml:space="preserve"> Iranian</w:t>
      </w:r>
      <w:r w:rsidR="00070EA8" w:rsidRPr="001077B0">
        <w:t xml:space="preserve"> crude oil </w:t>
      </w:r>
      <w:r w:rsidR="00DE655D" w:rsidRPr="001077B0">
        <w:t>exports to China</w:t>
      </w:r>
      <w:r w:rsidR="00704EF3" w:rsidRPr="001077B0">
        <w:t xml:space="preserve"> in 2025, which </w:t>
      </w:r>
      <w:r w:rsidR="00895EBC" w:rsidRPr="001077B0">
        <w:t>if included comprise</w:t>
      </w:r>
      <w:r w:rsidR="00704EF3" w:rsidRPr="001077B0">
        <w:t xml:space="preserve"> </w:t>
      </w:r>
      <w:r w:rsidR="0077618A" w:rsidRPr="001077B0">
        <w:t xml:space="preserve">over </w:t>
      </w:r>
      <w:r w:rsidR="00704EF3" w:rsidRPr="001077B0">
        <w:t>75 percent</w:t>
      </w:r>
      <w:r w:rsidR="00DE655D" w:rsidRPr="001077B0">
        <w:t xml:space="preserve"> of total bilateral trade.</w:t>
      </w:r>
      <w:r w:rsidR="00DE655D" w:rsidRPr="001077B0">
        <w:rPr>
          <w:rStyle w:val="EndnoteReference"/>
        </w:rPr>
        <w:endnoteReference w:id="25"/>
      </w:r>
      <w:r w:rsidR="005A1A5F" w:rsidRPr="001077B0">
        <w:t xml:space="preserve"> </w:t>
      </w:r>
      <w:bookmarkStart w:id="1" w:name="_Hlk218757240"/>
    </w:p>
    <w:bookmarkEnd w:id="1"/>
    <w:p w14:paraId="2B53BCA7" w14:textId="61382EE2" w:rsidR="005A1A5F" w:rsidRPr="001077B0" w:rsidRDefault="00066DE6" w:rsidP="00021BBE">
      <w:pPr>
        <w:pStyle w:val="ListBullet"/>
        <w:suppressAutoHyphens w:val="0"/>
      </w:pPr>
      <w:r w:rsidRPr="001077B0">
        <w:t>In 2021</w:t>
      </w:r>
      <w:r w:rsidR="00B85F98" w:rsidRPr="001077B0">
        <w:t>,</w:t>
      </w:r>
      <w:r w:rsidRPr="001077B0">
        <w:t xml:space="preserve"> </w:t>
      </w:r>
      <w:r w:rsidRPr="001077B0">
        <w:rPr>
          <w:b/>
          <w:bCs/>
        </w:rPr>
        <w:t xml:space="preserve">China pledged up to $400 billion in investment over </w:t>
      </w:r>
      <w:r w:rsidR="00E21D14" w:rsidRPr="001077B0">
        <w:rPr>
          <w:b/>
          <w:bCs/>
        </w:rPr>
        <w:t>25 years as part of a comprehensive strategic partnership</w:t>
      </w:r>
      <w:r w:rsidR="00E21D14" w:rsidRPr="001077B0">
        <w:t xml:space="preserve"> agreement with Iran.</w:t>
      </w:r>
      <w:r w:rsidR="00E21D14" w:rsidRPr="001077B0">
        <w:rPr>
          <w:rStyle w:val="EndnoteReference"/>
        </w:rPr>
        <w:endnoteReference w:id="26"/>
      </w:r>
      <w:r w:rsidR="00E21D14" w:rsidRPr="001077B0">
        <w:t xml:space="preserve"> </w:t>
      </w:r>
      <w:r w:rsidR="00895EBC" w:rsidRPr="001077B0">
        <w:t>In the years since, l</w:t>
      </w:r>
      <w:r w:rsidR="00283DEC" w:rsidRPr="001077B0">
        <w:t xml:space="preserve">ittle investment has been actualized due to Chinese companies’ hesitancy stemming from </w:t>
      </w:r>
      <w:r w:rsidR="00AF7156" w:rsidRPr="001077B0">
        <w:t>sanctions.</w:t>
      </w:r>
      <w:r w:rsidR="003328B1" w:rsidRPr="001077B0">
        <w:rPr>
          <w:rStyle w:val="EndnoteReference"/>
        </w:rPr>
        <w:endnoteReference w:id="27"/>
      </w:r>
      <w:r w:rsidR="00B71C4A" w:rsidRPr="001077B0">
        <w:t xml:space="preserve"> </w:t>
      </w:r>
      <w:r w:rsidR="00895EBC" w:rsidRPr="001077B0">
        <w:t xml:space="preserve">However, the </w:t>
      </w:r>
      <w:r w:rsidR="00895EBC" w:rsidRPr="001077B0">
        <w:rPr>
          <w:i/>
          <w:iCs/>
        </w:rPr>
        <w:t>Wall Street Journal</w:t>
      </w:r>
      <w:r w:rsidR="00895EBC" w:rsidRPr="001077B0">
        <w:t xml:space="preserve"> reported in October 2025 on an oil-for-</w:t>
      </w:r>
      <w:r w:rsidR="00895EBC" w:rsidRPr="001077B0">
        <w:t xml:space="preserve">infrastructure arrangement involving Chinese </w:t>
      </w:r>
      <w:r w:rsidR="00B85F98" w:rsidRPr="001077B0">
        <w:t>state-owned enterprise</w:t>
      </w:r>
      <w:r w:rsidR="00895EBC" w:rsidRPr="001077B0">
        <w:t xml:space="preserve"> </w:t>
      </w:r>
      <w:proofErr w:type="spellStart"/>
      <w:r w:rsidR="00895EBC" w:rsidRPr="001077B0">
        <w:t>Sinosure</w:t>
      </w:r>
      <w:proofErr w:type="spellEnd"/>
      <w:r w:rsidR="00895EBC" w:rsidRPr="001077B0">
        <w:t xml:space="preserve"> that may have secretly facilitated up to $8.4 billion worth of investment in 2024.</w:t>
      </w:r>
      <w:r w:rsidR="00895EBC" w:rsidRPr="001077B0">
        <w:rPr>
          <w:rStyle w:val="EndnoteReference"/>
        </w:rPr>
        <w:endnoteReference w:id="28"/>
      </w:r>
      <w:r w:rsidR="00895EBC" w:rsidRPr="001077B0">
        <w:t xml:space="preserve"> </w:t>
      </w:r>
    </w:p>
    <w:p w14:paraId="3E733789" w14:textId="69AD6D25" w:rsidR="00283DEC" w:rsidRPr="001077B0" w:rsidRDefault="0020141C" w:rsidP="00021BBE">
      <w:pPr>
        <w:pStyle w:val="ListBullet"/>
        <w:suppressAutoHyphens w:val="0"/>
      </w:pPr>
      <w:r w:rsidRPr="001077B0">
        <w:t xml:space="preserve">Given China’s extensive economic interests across the Middle East, </w:t>
      </w:r>
      <w:r w:rsidRPr="001077B0">
        <w:rPr>
          <w:b/>
          <w:bCs/>
        </w:rPr>
        <w:t>Beijing balances its support for Iran with other critical trade and investment partners</w:t>
      </w:r>
      <w:r w:rsidR="00286AFB" w:rsidRPr="001077B0">
        <w:rPr>
          <w:b/>
          <w:bCs/>
        </w:rPr>
        <w:t xml:space="preserve"> in the region</w:t>
      </w:r>
      <w:r w:rsidRPr="001077B0">
        <w:rPr>
          <w:b/>
          <w:bCs/>
        </w:rPr>
        <w:t xml:space="preserve">. </w:t>
      </w:r>
      <w:r w:rsidR="009B572F" w:rsidRPr="001077B0">
        <w:t>In 2025, China registered $108 billion in two-way trade with Saudi Arabia and $108 billion with the UAE, compared to $41.2 billion with Iran</w:t>
      </w:r>
      <w:r w:rsidR="001271AB" w:rsidRPr="001077B0">
        <w:t xml:space="preserve"> (including unreported oil imports)</w:t>
      </w:r>
      <w:r w:rsidR="003328B1" w:rsidRPr="001077B0">
        <w:t>.</w:t>
      </w:r>
      <w:r w:rsidR="003328B1" w:rsidRPr="001077B0">
        <w:rPr>
          <w:rStyle w:val="EndnoteReference"/>
        </w:rPr>
        <w:endnoteReference w:id="29"/>
      </w:r>
      <w:r w:rsidRPr="001077B0">
        <w:t xml:space="preserve"> </w:t>
      </w:r>
      <w:r w:rsidR="00336E11" w:rsidRPr="001077B0">
        <w:t xml:space="preserve">Arab Gulf countries also present far greater investment, technology, and market access opportunities for Chinese companies than Iran. </w:t>
      </w:r>
    </w:p>
    <w:p w14:paraId="46792AB5" w14:textId="5A99CD0A" w:rsidR="005A1A5F" w:rsidRPr="001077B0" w:rsidRDefault="005A1A5F" w:rsidP="00021BBE">
      <w:pPr>
        <w:pStyle w:val="Heading1topofsection"/>
      </w:pPr>
      <w:r w:rsidRPr="001077B0">
        <w:lastRenderedPageBreak/>
        <w:t>Oil</w:t>
      </w:r>
      <w:r w:rsidR="00C564DC" w:rsidRPr="001077B0">
        <w:t xml:space="preserve"> and Gas</w:t>
      </w:r>
    </w:p>
    <w:p w14:paraId="31684C01" w14:textId="3D4122EC" w:rsidR="005A1A5F" w:rsidRPr="001077B0" w:rsidRDefault="00C564DC" w:rsidP="00021BBE">
      <w:pPr>
        <w:pStyle w:val="ListBullet"/>
        <w:suppressAutoHyphens w:val="0"/>
      </w:pPr>
      <w:r w:rsidRPr="001077B0">
        <w:rPr>
          <w:b/>
          <w:bCs/>
        </w:rPr>
        <w:t>Iran has the third</w:t>
      </w:r>
      <w:r w:rsidR="00B85F98" w:rsidRPr="001077B0">
        <w:rPr>
          <w:b/>
          <w:bCs/>
        </w:rPr>
        <w:t>-</w:t>
      </w:r>
      <w:r w:rsidRPr="001077B0">
        <w:rPr>
          <w:b/>
          <w:bCs/>
        </w:rPr>
        <w:t>largest proven crude oil reserves and sits atop the world’s largest natural gas field</w:t>
      </w:r>
      <w:r w:rsidRPr="001077B0">
        <w:t>, which it shares with Qatar.</w:t>
      </w:r>
      <w:r w:rsidRPr="001077B0">
        <w:rPr>
          <w:rStyle w:val="EndnoteReference"/>
        </w:rPr>
        <w:endnoteReference w:id="30"/>
      </w:r>
      <w:r w:rsidRPr="001077B0">
        <w:t xml:space="preserve"> Sanctions have limited development of </w:t>
      </w:r>
      <w:r w:rsidR="00B85F98" w:rsidRPr="001077B0">
        <w:t>liquified natural gas (</w:t>
      </w:r>
      <w:r w:rsidRPr="001077B0">
        <w:t>LNG</w:t>
      </w:r>
      <w:r w:rsidR="00B85F98" w:rsidRPr="001077B0">
        <w:t>)</w:t>
      </w:r>
      <w:r w:rsidRPr="001077B0">
        <w:t xml:space="preserve"> export infrastructure, but </w:t>
      </w:r>
      <w:r w:rsidR="00526200" w:rsidRPr="001077B0">
        <w:t xml:space="preserve">Iran </w:t>
      </w:r>
      <w:r w:rsidR="003F7594" w:rsidRPr="001077B0">
        <w:t>remains among the world’s top exporters of crude oil, with total production capacity of 3.8 million barrels per day (bpd)</w:t>
      </w:r>
      <w:r w:rsidR="00F33D0D" w:rsidRPr="001077B0">
        <w:t>.</w:t>
      </w:r>
      <w:r w:rsidR="00F33D0D" w:rsidRPr="001077B0">
        <w:rPr>
          <w:rStyle w:val="EndnoteReference"/>
        </w:rPr>
        <w:endnoteReference w:id="31"/>
      </w:r>
    </w:p>
    <w:p w14:paraId="70A7377F" w14:textId="66CEE237" w:rsidR="009322E7" w:rsidRPr="001077B0" w:rsidRDefault="0045404E" w:rsidP="00021BBE">
      <w:pPr>
        <w:pStyle w:val="ListBullet"/>
        <w:suppressAutoHyphens w:val="0"/>
      </w:pPr>
      <w:r w:rsidRPr="001077B0">
        <w:rPr>
          <w:b/>
          <w:bCs/>
        </w:rPr>
        <w:t>China is by far the largest buyer of Iranian crude oil, purchasing upward of 90 percent</w:t>
      </w:r>
      <w:r w:rsidR="00307342" w:rsidRPr="001077B0">
        <w:rPr>
          <w:b/>
          <w:bCs/>
        </w:rPr>
        <w:t xml:space="preserve"> </w:t>
      </w:r>
      <w:r w:rsidR="00307342" w:rsidRPr="001077B0">
        <w:t xml:space="preserve">(see </w:t>
      </w:r>
      <w:r w:rsidR="00B85F98" w:rsidRPr="001077B0">
        <w:t>F</w:t>
      </w:r>
      <w:r w:rsidR="00307342" w:rsidRPr="001077B0">
        <w:t>igure 1), often at a steep discount of $</w:t>
      </w:r>
      <w:r w:rsidR="00C843B2" w:rsidRPr="001077B0">
        <w:t>8</w:t>
      </w:r>
      <w:r w:rsidR="00B85F98" w:rsidRPr="001077B0">
        <w:rPr>
          <w:rFonts w:cstheme="minorHAnsi"/>
        </w:rPr>
        <w:t>–</w:t>
      </w:r>
      <w:r w:rsidR="00C843B2" w:rsidRPr="001077B0">
        <w:t>10</w:t>
      </w:r>
      <w:r w:rsidR="00307342" w:rsidRPr="001077B0">
        <w:t xml:space="preserve"> per barrel</w:t>
      </w:r>
      <w:r w:rsidRPr="001077B0">
        <w:t>.</w:t>
      </w:r>
      <w:r w:rsidRPr="001077B0">
        <w:rPr>
          <w:rStyle w:val="EndnoteReference"/>
        </w:rPr>
        <w:endnoteReference w:id="32"/>
      </w:r>
      <w:r w:rsidRPr="001077B0">
        <w:t xml:space="preserve"> </w:t>
      </w:r>
      <w:r w:rsidR="009E4873" w:rsidRPr="001077B0">
        <w:t>In 2025 China imported almost 1.4 million bpd of Iranian oil, which accounted for about 12 percent of its total crude imports</w:t>
      </w:r>
      <w:r w:rsidR="00F33D0D" w:rsidRPr="001077B0">
        <w:t>.</w:t>
      </w:r>
      <w:r w:rsidR="00F33D0D" w:rsidRPr="001077B0">
        <w:rPr>
          <w:rStyle w:val="EndnoteReference"/>
        </w:rPr>
        <w:endnoteReference w:id="33"/>
      </w:r>
      <w:r w:rsidR="00987687" w:rsidRPr="001077B0">
        <w:t xml:space="preserve"> </w:t>
      </w:r>
    </w:p>
    <w:p w14:paraId="09388B92" w14:textId="06E58297" w:rsidR="005A1A5F" w:rsidRPr="001077B0" w:rsidRDefault="009322E7" w:rsidP="00021BBE">
      <w:pPr>
        <w:pStyle w:val="ListBullet"/>
        <w:suppressAutoHyphens w:val="0"/>
      </w:pPr>
      <w:r w:rsidRPr="001077B0">
        <w:t xml:space="preserve">China’s purchases of Iranian oil </w:t>
      </w:r>
      <w:proofErr w:type="gramStart"/>
      <w:r w:rsidR="005B22CD" w:rsidRPr="001077B0">
        <w:t>translates</w:t>
      </w:r>
      <w:proofErr w:type="gramEnd"/>
      <w:r w:rsidR="005B22CD" w:rsidRPr="001077B0">
        <w:t xml:space="preserve"> to tens of billions of dollars in revenue </w:t>
      </w:r>
      <w:r w:rsidRPr="001077B0">
        <w:t xml:space="preserve">for </w:t>
      </w:r>
      <w:r w:rsidR="00526200" w:rsidRPr="001077B0">
        <w:t xml:space="preserve">Tehran </w:t>
      </w:r>
      <w:r w:rsidR="005B22CD" w:rsidRPr="001077B0">
        <w:t>annually (~$3</w:t>
      </w:r>
      <w:r w:rsidR="00C843B2" w:rsidRPr="001077B0">
        <w:t>1.2</w:t>
      </w:r>
      <w:r w:rsidR="005B22CD" w:rsidRPr="001077B0">
        <w:t xml:space="preserve"> billion in 2025), even with </w:t>
      </w:r>
      <w:r w:rsidR="00307342" w:rsidRPr="001077B0">
        <w:t>the</w:t>
      </w:r>
      <w:r w:rsidR="005B22CD" w:rsidRPr="001077B0">
        <w:t xml:space="preserve"> discount</w:t>
      </w:r>
      <w:r w:rsidR="00AE1E91" w:rsidRPr="001077B0">
        <w:t xml:space="preserve">. </w:t>
      </w:r>
      <w:r w:rsidRPr="001077B0">
        <w:rPr>
          <w:b/>
          <w:bCs/>
        </w:rPr>
        <w:t>O</w:t>
      </w:r>
      <w:r w:rsidR="007C1706" w:rsidRPr="001077B0">
        <w:rPr>
          <w:b/>
          <w:bCs/>
        </w:rPr>
        <w:t>il revenue from China accounts for about 45 percent of Iran’s government budget, money that in turn funds Iran’s destabilizing activity throughout the region.</w:t>
      </w:r>
      <w:r w:rsidR="007C1706" w:rsidRPr="001077B0">
        <w:rPr>
          <w:rStyle w:val="EndnoteReference"/>
        </w:rPr>
        <w:endnoteReference w:id="34"/>
      </w:r>
      <w:r w:rsidR="007C1706" w:rsidRPr="001077B0">
        <w:t xml:space="preserve"> </w:t>
      </w:r>
    </w:p>
    <w:p w14:paraId="5335DBF0" w14:textId="2DCF9FF1" w:rsidR="00B16AC7" w:rsidRPr="001077B0" w:rsidRDefault="00307342" w:rsidP="00021BBE">
      <w:pPr>
        <w:pStyle w:val="ListBullet"/>
        <w:suppressAutoHyphens w:val="0"/>
      </w:pPr>
      <w:r w:rsidRPr="001077B0">
        <w:rPr>
          <w:b/>
          <w:bCs/>
        </w:rPr>
        <w:t xml:space="preserve">China is highly dependent on seaborne oil imports but has been actively preparing for a </w:t>
      </w:r>
      <w:r w:rsidR="00526200" w:rsidRPr="001077B0">
        <w:rPr>
          <w:b/>
          <w:bCs/>
        </w:rPr>
        <w:t>supply shock</w:t>
      </w:r>
      <w:r w:rsidRPr="001077B0">
        <w:rPr>
          <w:b/>
          <w:bCs/>
        </w:rPr>
        <w:t xml:space="preserve">. </w:t>
      </w:r>
      <w:r w:rsidRPr="001077B0">
        <w:t xml:space="preserve">China relies on seaborne imports for </w:t>
      </w:r>
      <w:r w:rsidR="00F33D0D" w:rsidRPr="001077B0">
        <w:t xml:space="preserve">over </w:t>
      </w:r>
      <w:r w:rsidR="00C843B2" w:rsidRPr="001077B0">
        <w:t>63</w:t>
      </w:r>
      <w:r w:rsidRPr="001077B0">
        <w:t xml:space="preserve"> percent of its oil needs</w:t>
      </w:r>
      <w:r w:rsidR="00F92094" w:rsidRPr="001077B0">
        <w:t>,</w:t>
      </w:r>
      <w:r w:rsidR="00286AFB" w:rsidRPr="001077B0">
        <w:t xml:space="preserve"> and half of China’s imports flow through the Strait of Hormuz</w:t>
      </w:r>
      <w:r w:rsidR="00F33D0D" w:rsidRPr="001077B0">
        <w:t>.</w:t>
      </w:r>
      <w:r w:rsidR="00F33D0D" w:rsidRPr="001077B0">
        <w:rPr>
          <w:rStyle w:val="EndnoteReference"/>
        </w:rPr>
        <w:endnoteReference w:id="35"/>
      </w:r>
      <w:r w:rsidRPr="001077B0">
        <w:t xml:space="preserve"> </w:t>
      </w:r>
      <w:r w:rsidR="00286AFB" w:rsidRPr="001077B0">
        <w:t xml:space="preserve">China has ensured a </w:t>
      </w:r>
      <w:r w:rsidR="007C1706" w:rsidRPr="001077B0">
        <w:t xml:space="preserve">diversified and flexible supply </w:t>
      </w:r>
      <w:r w:rsidR="00286AFB" w:rsidRPr="001077B0">
        <w:t>of oil (</w:t>
      </w:r>
      <w:r w:rsidR="0083146B" w:rsidRPr="001077B0">
        <w:t>beyond the 22</w:t>
      </w:r>
      <w:r w:rsidR="002168D6" w:rsidRPr="001077B0">
        <w:t xml:space="preserve"> percent</w:t>
      </w:r>
      <w:r w:rsidR="0083146B" w:rsidRPr="001077B0">
        <w:t xml:space="preserve"> it receives</w:t>
      </w:r>
      <w:r w:rsidR="00286AFB" w:rsidRPr="001077B0">
        <w:t xml:space="preserve"> from Iran, Russia, and Venezuela</w:t>
      </w:r>
      <w:r w:rsidR="0083146B" w:rsidRPr="001077B0">
        <w:t xml:space="preserve"> combined</w:t>
      </w:r>
      <w:r w:rsidR="00286AFB" w:rsidRPr="001077B0">
        <w:t xml:space="preserve">) </w:t>
      </w:r>
      <w:r w:rsidR="007C1706" w:rsidRPr="001077B0">
        <w:t>to avoid becoming over</w:t>
      </w:r>
      <w:r w:rsidR="000F4150" w:rsidRPr="001077B0">
        <w:t>ly</w:t>
      </w:r>
      <w:r w:rsidR="007C1706" w:rsidRPr="001077B0">
        <w:t xml:space="preserve"> reliant on tenuous sources.</w:t>
      </w:r>
      <w:r w:rsidR="007C1706" w:rsidRPr="001077B0">
        <w:rPr>
          <w:rStyle w:val="EndnoteReference"/>
        </w:rPr>
        <w:endnoteReference w:id="36"/>
      </w:r>
      <w:r w:rsidR="007C1706" w:rsidRPr="001077B0">
        <w:t xml:space="preserve"> </w:t>
      </w:r>
      <w:r w:rsidR="005D15C6" w:rsidRPr="001077B0">
        <w:t>China</w:t>
      </w:r>
      <w:r w:rsidR="00DB0B1D" w:rsidRPr="001077B0">
        <w:t xml:space="preserve"> has significantly increased </w:t>
      </w:r>
      <w:r w:rsidR="00286AFB" w:rsidRPr="001077B0">
        <w:t xml:space="preserve">its </w:t>
      </w:r>
      <w:r w:rsidR="00DB0B1D" w:rsidRPr="001077B0">
        <w:t xml:space="preserve">crude oil storage and stockpile capacity, </w:t>
      </w:r>
      <w:r w:rsidR="00F33D0D" w:rsidRPr="001077B0">
        <w:t>with one estimate indicating</w:t>
      </w:r>
      <w:r w:rsidR="00286AFB" w:rsidRPr="001077B0">
        <w:t xml:space="preserve"> it could meet its core needs for </w:t>
      </w:r>
      <w:r w:rsidR="00DB0B1D" w:rsidRPr="001077B0">
        <w:t xml:space="preserve">two to four years if cut off </w:t>
      </w:r>
      <w:r w:rsidR="005D15C6" w:rsidRPr="001077B0">
        <w:t xml:space="preserve">completely </w:t>
      </w:r>
      <w:r w:rsidR="00DB0B1D" w:rsidRPr="001077B0">
        <w:t>from seaborne imports</w:t>
      </w:r>
      <w:r w:rsidR="0056639A" w:rsidRPr="001077B0">
        <w:t xml:space="preserve">, with </w:t>
      </w:r>
      <w:r w:rsidR="00E360EC" w:rsidRPr="001077B0">
        <w:t xml:space="preserve">aggressive </w:t>
      </w:r>
      <w:r w:rsidR="0056639A" w:rsidRPr="001077B0">
        <w:t>rationing and increased overland pipeline utilization</w:t>
      </w:r>
      <w:r w:rsidR="00F33D0D" w:rsidRPr="001077B0">
        <w:t>.</w:t>
      </w:r>
      <w:r w:rsidR="00F33D0D" w:rsidRPr="001077B0">
        <w:rPr>
          <w:rStyle w:val="EndnoteReference"/>
        </w:rPr>
        <w:endnoteReference w:id="37"/>
      </w:r>
      <w:r w:rsidR="005D15C6" w:rsidRPr="001077B0">
        <w:t xml:space="preserve"> Notably, there has been a marked increase i</w:t>
      </w:r>
      <w:r w:rsidR="000F4150" w:rsidRPr="001077B0">
        <w:t>n</w:t>
      </w:r>
      <w:r w:rsidR="005D15C6" w:rsidRPr="001077B0">
        <w:t xml:space="preserve"> the amount of seaborne oil from both Iran and Venezuela abo</w:t>
      </w:r>
      <w:r w:rsidR="000F4150" w:rsidRPr="001077B0">
        <w:t>a</w:t>
      </w:r>
      <w:r w:rsidR="005D15C6" w:rsidRPr="001077B0">
        <w:t>rd tankers anchored in China’s coastal waters coinciding with the runup to U.S. military action</w:t>
      </w:r>
      <w:r w:rsidR="00E360EC" w:rsidRPr="001077B0">
        <w:t>.</w:t>
      </w:r>
      <w:r w:rsidR="00E360EC" w:rsidRPr="001077B0">
        <w:rPr>
          <w:rStyle w:val="EndnoteReference"/>
        </w:rPr>
        <w:endnoteReference w:id="38"/>
      </w:r>
      <w:r w:rsidR="005D15C6" w:rsidRPr="001077B0">
        <w:t xml:space="preserve"> Th</w:t>
      </w:r>
      <w:r w:rsidR="00052C3E" w:rsidRPr="001077B0">
        <w:t xml:space="preserve">e </w:t>
      </w:r>
      <w:r w:rsidR="00F33D0D" w:rsidRPr="001077B0">
        <w:t xml:space="preserve">almost 40 </w:t>
      </w:r>
      <w:r w:rsidR="00052C3E" w:rsidRPr="001077B0">
        <w:t>million barrels in</w:t>
      </w:r>
      <w:r w:rsidR="005D15C6" w:rsidRPr="001077B0">
        <w:t xml:space="preserve"> “floating storage” could provide a buffer if there is a prolonged closure of the Strait of Hormuz</w:t>
      </w:r>
      <w:r w:rsidR="00F33D0D" w:rsidRPr="001077B0">
        <w:t>.</w:t>
      </w:r>
      <w:r w:rsidR="00F33D0D" w:rsidRPr="001077B0">
        <w:rPr>
          <w:rStyle w:val="EndnoteReference"/>
        </w:rPr>
        <w:endnoteReference w:id="39"/>
      </w:r>
    </w:p>
    <w:p w14:paraId="25B53B5C" w14:textId="17C6B32B" w:rsidR="005945D0" w:rsidRPr="001077B0" w:rsidRDefault="00B16AC7" w:rsidP="00021BBE">
      <w:pPr>
        <w:pStyle w:val="ListBullet"/>
        <w:suppressAutoHyphens w:val="0"/>
      </w:pPr>
      <w:r w:rsidRPr="001077B0">
        <w:rPr>
          <w:b/>
          <w:bCs/>
        </w:rPr>
        <w:t>On March 12, 2026</w:t>
      </w:r>
      <w:r w:rsidR="00DA6774" w:rsidRPr="001077B0">
        <w:rPr>
          <w:b/>
          <w:bCs/>
        </w:rPr>
        <w:t>,</w:t>
      </w:r>
      <w:r w:rsidRPr="001077B0">
        <w:rPr>
          <w:b/>
          <w:bCs/>
        </w:rPr>
        <w:t xml:space="preserve"> Chinese authorities halted export</w:t>
      </w:r>
      <w:r w:rsidR="0083146B" w:rsidRPr="001077B0">
        <w:rPr>
          <w:b/>
          <w:bCs/>
        </w:rPr>
        <w:t>s</w:t>
      </w:r>
      <w:r w:rsidRPr="001077B0">
        <w:rPr>
          <w:b/>
          <w:bCs/>
        </w:rPr>
        <w:t xml:space="preserve"> of </w:t>
      </w:r>
      <w:r w:rsidR="00F33D0D" w:rsidRPr="001077B0">
        <w:rPr>
          <w:b/>
          <w:bCs/>
        </w:rPr>
        <w:t xml:space="preserve">refined oil products </w:t>
      </w:r>
      <w:r w:rsidRPr="001077B0">
        <w:rPr>
          <w:b/>
          <w:bCs/>
        </w:rPr>
        <w:t>that had not yet cleared customs, indicating growing trepidation</w:t>
      </w:r>
      <w:r w:rsidR="004549B4" w:rsidRPr="001077B0">
        <w:rPr>
          <w:b/>
          <w:bCs/>
        </w:rPr>
        <w:t xml:space="preserve"> about disruptions from the Gulf</w:t>
      </w:r>
      <w:r w:rsidR="00F33D0D" w:rsidRPr="001077B0">
        <w:rPr>
          <w:b/>
          <w:bCs/>
        </w:rPr>
        <w:t>.</w:t>
      </w:r>
      <w:r w:rsidR="00F33D0D" w:rsidRPr="001077B0">
        <w:rPr>
          <w:rStyle w:val="EndnoteReference"/>
          <w:b/>
          <w:bCs/>
        </w:rPr>
        <w:endnoteReference w:id="40"/>
      </w:r>
      <w:r w:rsidRPr="001077B0">
        <w:rPr>
          <w:b/>
          <w:bCs/>
        </w:rPr>
        <w:t xml:space="preserve"> </w:t>
      </w:r>
      <w:r w:rsidR="00DA6774" w:rsidRPr="001077B0">
        <w:t>Of</w:t>
      </w:r>
      <w:r w:rsidR="004549B4" w:rsidRPr="001077B0">
        <w:t xml:space="preserve"> the 15 ships that had transited </w:t>
      </w:r>
      <w:r w:rsidR="00DA6774" w:rsidRPr="001077B0">
        <w:t xml:space="preserve">the Strait of Hormuz </w:t>
      </w:r>
      <w:r w:rsidR="004549B4" w:rsidRPr="001077B0">
        <w:t>as of March 10</w:t>
      </w:r>
      <w:r w:rsidR="00F02693" w:rsidRPr="001077B0">
        <w:t>,</w:t>
      </w:r>
      <w:r w:rsidR="004549B4" w:rsidRPr="001077B0">
        <w:t xml:space="preserve"> most were shadow fleet vessels transporting Iranian oil, </w:t>
      </w:r>
      <w:r w:rsidR="00DA6774" w:rsidRPr="001077B0">
        <w:t>meaning there had been no decrease in Iran’s oil exports</w:t>
      </w:r>
      <w:r w:rsidR="00F33D0D" w:rsidRPr="001077B0">
        <w:t>.</w:t>
      </w:r>
      <w:r w:rsidR="00F33D0D" w:rsidRPr="001077B0">
        <w:rPr>
          <w:rStyle w:val="EndnoteReference"/>
        </w:rPr>
        <w:endnoteReference w:id="41"/>
      </w:r>
      <w:r w:rsidR="004549B4" w:rsidRPr="001077B0">
        <w:t xml:space="preserve"> </w:t>
      </w:r>
      <w:r w:rsidR="00F33D0D" w:rsidRPr="001077B0">
        <w:t xml:space="preserve">Some </w:t>
      </w:r>
      <w:r w:rsidR="005D15C6" w:rsidRPr="001077B0">
        <w:t>ships attempting to transit the Strait of Hormuz are claiming to have Chinese crews in an effort to dissuade Iranian attack</w:t>
      </w:r>
      <w:r w:rsidR="00D25B9D" w:rsidRPr="001077B0">
        <w:t>s</w:t>
      </w:r>
      <w:r w:rsidR="00F33D0D" w:rsidRPr="001077B0">
        <w:t>.</w:t>
      </w:r>
      <w:r w:rsidR="00F33D0D" w:rsidRPr="001077B0">
        <w:rPr>
          <w:rStyle w:val="EndnoteReference"/>
        </w:rPr>
        <w:endnoteReference w:id="42"/>
      </w:r>
    </w:p>
    <w:p w14:paraId="128DD9C8" w14:textId="59C3FBF5" w:rsidR="005945D0" w:rsidRPr="001077B0" w:rsidRDefault="005945D0" w:rsidP="00021BBE">
      <w:pPr>
        <w:pStyle w:val="Heading1topofsection"/>
      </w:pPr>
      <w:r w:rsidRPr="001077B0">
        <w:t>Sanctions</w:t>
      </w:r>
      <w:r w:rsidR="00ED11C5" w:rsidRPr="001077B0">
        <w:t xml:space="preserve"> Evasion</w:t>
      </w:r>
    </w:p>
    <w:p w14:paraId="2E57F933" w14:textId="631B0B13" w:rsidR="00980B16" w:rsidRPr="001077B0" w:rsidRDefault="00501E8C" w:rsidP="00021BBE">
      <w:pPr>
        <w:pStyle w:val="ListBullet"/>
        <w:suppressAutoHyphens w:val="0"/>
      </w:pPr>
      <w:bookmarkStart w:id="2" w:name="_Hlk218767749"/>
      <w:r w:rsidRPr="001077B0">
        <w:rPr>
          <w:b/>
          <w:bCs/>
        </w:rPr>
        <w:t xml:space="preserve">Iran </w:t>
      </w:r>
      <w:r w:rsidR="00B14533" w:rsidRPr="001077B0">
        <w:rPr>
          <w:b/>
          <w:bCs/>
        </w:rPr>
        <w:t>is subject to a broad range of both U.S. and global sanctions</w:t>
      </w:r>
      <w:r w:rsidR="00B14533" w:rsidRPr="001077B0">
        <w:t xml:space="preserve"> aiming to </w:t>
      </w:r>
      <w:r w:rsidRPr="001077B0">
        <w:t xml:space="preserve">deter further development of </w:t>
      </w:r>
      <w:r w:rsidR="00B14533" w:rsidRPr="001077B0">
        <w:t xml:space="preserve">its </w:t>
      </w:r>
      <w:r w:rsidRPr="001077B0">
        <w:t>nuclear and missile programs</w:t>
      </w:r>
      <w:r w:rsidR="00B14533" w:rsidRPr="001077B0">
        <w:t xml:space="preserve"> and penalize its role in </w:t>
      </w:r>
      <w:r w:rsidRPr="001077B0">
        <w:t>international terrorism, regional aggression, and human rights abuses</w:t>
      </w:r>
      <w:r w:rsidR="00F33D0D" w:rsidRPr="001077B0">
        <w:t>.</w:t>
      </w:r>
      <w:r w:rsidR="00F33D0D" w:rsidRPr="001077B0">
        <w:rPr>
          <w:rStyle w:val="EndnoteReference"/>
        </w:rPr>
        <w:endnoteReference w:id="43"/>
      </w:r>
      <w:r w:rsidRPr="001077B0">
        <w:t xml:space="preserve"> UN sanctions lifted as part of the 2015 JCPOA were reimposed in September 2025 after France, Germany, and the UK invoked a snapback mechanism due to Iran’s “significant non-performance” of its commitments under the agreement.</w:t>
      </w:r>
      <w:r w:rsidRPr="001077B0">
        <w:rPr>
          <w:rStyle w:val="EndnoteReference"/>
        </w:rPr>
        <w:endnoteReference w:id="44"/>
      </w:r>
      <w:r w:rsidR="00525B23" w:rsidRPr="001077B0">
        <w:t xml:space="preserve"> </w:t>
      </w:r>
      <w:r w:rsidR="00B5638E" w:rsidRPr="001077B0">
        <w:t>Despite its original participation in</w:t>
      </w:r>
      <w:r w:rsidR="00525B23" w:rsidRPr="001077B0">
        <w:t xml:space="preserve"> </w:t>
      </w:r>
      <w:r w:rsidR="00623C30" w:rsidRPr="001077B0">
        <w:t xml:space="preserve">the </w:t>
      </w:r>
      <w:r w:rsidR="00525B23" w:rsidRPr="001077B0">
        <w:t>JCPOA, China opposed the snapback provision.</w:t>
      </w:r>
      <w:r w:rsidR="00525B23" w:rsidRPr="001077B0">
        <w:rPr>
          <w:rStyle w:val="EndnoteReference"/>
        </w:rPr>
        <w:endnoteReference w:id="45"/>
      </w:r>
    </w:p>
    <w:p w14:paraId="48546093" w14:textId="34BCEDD7" w:rsidR="00212F71" w:rsidRPr="001077B0" w:rsidRDefault="00525B23" w:rsidP="00021BBE">
      <w:pPr>
        <w:pStyle w:val="ListBullet"/>
        <w:suppressAutoHyphens w:val="0"/>
      </w:pPr>
      <w:r w:rsidRPr="001077B0">
        <w:rPr>
          <w:b/>
          <w:bCs/>
        </w:rPr>
        <w:t>Chinese entities are involved in multiple steps of a complex enterprise to import Iranian oil</w:t>
      </w:r>
      <w:r w:rsidR="00F80081" w:rsidRPr="001077B0">
        <w:rPr>
          <w:b/>
          <w:bCs/>
        </w:rPr>
        <w:t xml:space="preserve"> and</w:t>
      </w:r>
      <w:r w:rsidRPr="001077B0">
        <w:rPr>
          <w:b/>
          <w:bCs/>
        </w:rPr>
        <w:t xml:space="preserve"> facilitate payment. </w:t>
      </w:r>
      <w:r w:rsidR="00F80081" w:rsidRPr="001077B0">
        <w:t xml:space="preserve">As mentioned above, </w:t>
      </w:r>
      <w:r w:rsidR="00AA6ABB" w:rsidRPr="001077B0">
        <w:t>Chinese customs authorities</w:t>
      </w:r>
      <w:r w:rsidR="00F80081" w:rsidRPr="001077B0">
        <w:t xml:space="preserve"> do not officially report Iranian oil imports but rather</w:t>
      </w:r>
      <w:r w:rsidR="00AA6ABB" w:rsidRPr="001077B0">
        <w:t xml:space="preserve"> falsely attribute </w:t>
      </w:r>
      <w:r w:rsidR="00F80081" w:rsidRPr="001077B0">
        <w:t>origin to</w:t>
      </w:r>
      <w:r w:rsidR="00AA6ABB" w:rsidRPr="001077B0">
        <w:t xml:space="preserve"> </w:t>
      </w:r>
      <w:r w:rsidR="0083146B" w:rsidRPr="001077B0">
        <w:t xml:space="preserve">other countries, mostly </w:t>
      </w:r>
      <w:r w:rsidR="00AA6ABB" w:rsidRPr="001077B0">
        <w:t xml:space="preserve">Malaysia, Oman, and </w:t>
      </w:r>
      <w:r w:rsidR="00686F94" w:rsidRPr="001077B0">
        <w:t xml:space="preserve">the </w:t>
      </w:r>
      <w:r w:rsidR="00AA6ABB" w:rsidRPr="001077B0">
        <w:t>UAE</w:t>
      </w:r>
      <w:r w:rsidR="00B14533" w:rsidRPr="001077B0">
        <w:t>.</w:t>
      </w:r>
      <w:r w:rsidR="00AA6ABB" w:rsidRPr="001077B0">
        <w:t xml:space="preserve"> </w:t>
      </w:r>
      <w:r w:rsidR="00B14533" w:rsidRPr="001077B0">
        <w:t>T</w:t>
      </w:r>
      <w:r w:rsidR="00AA6ABB" w:rsidRPr="001077B0">
        <w:t xml:space="preserve">he oil is transported on aging “shadow fleet” tankers </w:t>
      </w:r>
      <w:r w:rsidR="00F80081" w:rsidRPr="001077B0">
        <w:t>that obfuscate their activity by using foreign flags, turning off AIS transponders, geo-spoofing, and making ship-to-ship transfers</w:t>
      </w:r>
      <w:r w:rsidR="00F33D0D" w:rsidRPr="001077B0">
        <w:t>.</w:t>
      </w:r>
      <w:r w:rsidR="00F33D0D" w:rsidRPr="001077B0">
        <w:rPr>
          <w:rStyle w:val="EndnoteReference"/>
        </w:rPr>
        <w:endnoteReference w:id="46"/>
      </w:r>
      <w:r w:rsidR="00613CB2" w:rsidRPr="001077B0">
        <w:t xml:space="preserve"> </w:t>
      </w:r>
      <w:r w:rsidR="00F80081" w:rsidRPr="001077B0">
        <w:t>Most of the oil is processed by</w:t>
      </w:r>
      <w:r w:rsidR="00AA6ABB" w:rsidRPr="001077B0">
        <w:t xml:space="preserve"> a cluster of independent “teapot” refineries</w:t>
      </w:r>
      <w:r w:rsidR="00212F71" w:rsidRPr="001077B0">
        <w:t xml:space="preserve"> largely cordoned off from the international financial system</w:t>
      </w:r>
      <w:r w:rsidR="0083146B" w:rsidRPr="001077B0">
        <w:t xml:space="preserve"> to minimize their exposure to sanctions</w:t>
      </w:r>
      <w:r w:rsidR="00F33D0D" w:rsidRPr="001077B0">
        <w:t>.</w:t>
      </w:r>
      <w:r w:rsidR="00F33D0D" w:rsidRPr="001077B0">
        <w:rPr>
          <w:rStyle w:val="EndnoteReference"/>
        </w:rPr>
        <w:endnoteReference w:id="47"/>
      </w:r>
      <w:r w:rsidR="00AA6ABB" w:rsidRPr="001077B0">
        <w:t xml:space="preserve"> </w:t>
      </w:r>
    </w:p>
    <w:p w14:paraId="0AABA665" w14:textId="16DBB378" w:rsidR="0027789F" w:rsidRPr="001077B0" w:rsidRDefault="00B14533" w:rsidP="00021BBE">
      <w:pPr>
        <w:pStyle w:val="ListBullet"/>
        <w:suppressAutoHyphens w:val="0"/>
      </w:pPr>
      <w:r w:rsidRPr="001077B0">
        <w:rPr>
          <w:b/>
          <w:bCs/>
        </w:rPr>
        <w:t>China</w:t>
      </w:r>
      <w:r w:rsidR="000340A3" w:rsidRPr="001077B0">
        <w:rPr>
          <w:b/>
          <w:bCs/>
        </w:rPr>
        <w:t xml:space="preserve"> enables Iran’s access to export-controlled dual-use technology necessary for Iran’s drone and weapons programs. </w:t>
      </w:r>
      <w:r w:rsidR="00212F71" w:rsidRPr="001077B0">
        <w:t>China facilitates export control evasion for Iran through networks of transshipment and shell companies in Hong Kong, China, and third-party countries</w:t>
      </w:r>
      <w:r w:rsidR="00F33D0D" w:rsidRPr="001077B0">
        <w:t>.</w:t>
      </w:r>
      <w:r w:rsidR="00F33D0D" w:rsidRPr="001077B0">
        <w:rPr>
          <w:rStyle w:val="EndnoteReference"/>
        </w:rPr>
        <w:endnoteReference w:id="48"/>
      </w:r>
      <w:r w:rsidR="00212F71" w:rsidRPr="001077B0">
        <w:rPr>
          <w:b/>
          <w:bCs/>
        </w:rPr>
        <w:t xml:space="preserve"> </w:t>
      </w:r>
      <w:r w:rsidR="00B3079A" w:rsidRPr="001077B0">
        <w:t xml:space="preserve">These obfuscation </w:t>
      </w:r>
      <w:r w:rsidR="00B3079A" w:rsidRPr="001077B0">
        <w:lastRenderedPageBreak/>
        <w:t xml:space="preserve">tactics are used to </w:t>
      </w:r>
      <w:r w:rsidR="00392B25" w:rsidRPr="001077B0">
        <w:t xml:space="preserve">provide </w:t>
      </w:r>
      <w:r w:rsidR="00B3079A" w:rsidRPr="001077B0">
        <w:t xml:space="preserve">dual-use components for Iranian drone and missile programs. As of November 13, 2025, 366 China and Hong Kong-based entities were on the </w:t>
      </w:r>
      <w:r w:rsidR="003F10F7" w:rsidRPr="001077B0">
        <w:t>Sp</w:t>
      </w:r>
      <w:r w:rsidR="005B2F8E" w:rsidRPr="001077B0">
        <w:t>e</w:t>
      </w:r>
      <w:r w:rsidR="003F10F7" w:rsidRPr="001077B0">
        <w:t xml:space="preserve">cially Designated Nationals </w:t>
      </w:r>
      <w:r w:rsidR="005B2F8E" w:rsidRPr="001077B0">
        <w:t>(</w:t>
      </w:r>
      <w:r w:rsidR="00B3079A" w:rsidRPr="001077B0">
        <w:t>SDN</w:t>
      </w:r>
      <w:r w:rsidR="005B2F8E" w:rsidRPr="001077B0">
        <w:t>)</w:t>
      </w:r>
      <w:r w:rsidR="00B3079A" w:rsidRPr="001077B0">
        <w:t xml:space="preserve"> </w:t>
      </w:r>
      <w:r w:rsidR="005B2F8E" w:rsidRPr="001077B0">
        <w:t>L</w:t>
      </w:r>
      <w:r w:rsidR="00B3079A" w:rsidRPr="001077B0">
        <w:t>ist for Iran-related sanctions programs</w:t>
      </w:r>
      <w:r w:rsidR="00E62E0C" w:rsidRPr="001077B0">
        <w:t>. O</w:t>
      </w:r>
      <w:r w:rsidR="00B3079A" w:rsidRPr="001077B0">
        <w:t>ver 100 Chinese and Hong Kong entities have been added to the Entity List for assisting Iran’s export control evasion efforts in the last eight years</w:t>
      </w:r>
      <w:r w:rsidR="00F33D0D" w:rsidRPr="001077B0">
        <w:t>.</w:t>
      </w:r>
      <w:r w:rsidR="00F33D0D" w:rsidRPr="001077B0">
        <w:rPr>
          <w:rStyle w:val="EndnoteReference"/>
        </w:rPr>
        <w:endnoteReference w:id="49"/>
      </w:r>
      <w:r w:rsidR="00F33D0D" w:rsidRPr="001077B0">
        <w:t xml:space="preserve"> </w:t>
      </w:r>
    </w:p>
    <w:p w14:paraId="5D980067" w14:textId="1B8F2FA4" w:rsidR="00261703" w:rsidRPr="001077B0" w:rsidRDefault="00F80081" w:rsidP="00984D68">
      <w:pPr>
        <w:pStyle w:val="ListBullet"/>
        <w:suppressAutoHyphens w:val="0"/>
      </w:pPr>
      <w:r w:rsidRPr="001077B0">
        <w:rPr>
          <w:b/>
          <w:bCs/>
        </w:rPr>
        <w:t xml:space="preserve">China and Hong Kong play a critical role in </w:t>
      </w:r>
      <w:r w:rsidR="00E47C0F" w:rsidRPr="001077B0">
        <w:rPr>
          <w:b/>
          <w:bCs/>
        </w:rPr>
        <w:t>facilitating payment for sanctioned</w:t>
      </w:r>
      <w:r w:rsidRPr="001077B0">
        <w:rPr>
          <w:b/>
          <w:bCs/>
        </w:rPr>
        <w:t xml:space="preserve"> Iran</w:t>
      </w:r>
      <w:r w:rsidR="00E47C0F" w:rsidRPr="001077B0">
        <w:rPr>
          <w:b/>
          <w:bCs/>
        </w:rPr>
        <w:t>ian activity</w:t>
      </w:r>
      <w:r w:rsidRPr="001077B0">
        <w:rPr>
          <w:b/>
          <w:bCs/>
        </w:rPr>
        <w:t>.</w:t>
      </w:r>
      <w:r w:rsidRPr="001077B0">
        <w:t xml:space="preserve"> A network of front companies and small regional banks facilitate payment using false addresses and fake invoices, often via Hong Kong.</w:t>
      </w:r>
      <w:r w:rsidRPr="001077B0">
        <w:rPr>
          <w:rStyle w:val="EndnoteReference"/>
        </w:rPr>
        <w:endnoteReference w:id="50"/>
      </w:r>
      <w:r w:rsidRPr="001077B0">
        <w:t xml:space="preserve"> </w:t>
      </w:r>
      <w:r w:rsidR="00E47C0F" w:rsidRPr="001077B0">
        <w:t>Iran uses a complex web of financial institutions to launder most of the</w:t>
      </w:r>
      <w:r w:rsidR="00F25AFA" w:rsidRPr="001077B0">
        <w:t xml:space="preserve"> renminbi (</w:t>
      </w:r>
      <w:r w:rsidR="00E47C0F" w:rsidRPr="001077B0">
        <w:t>RMB</w:t>
      </w:r>
      <w:r w:rsidR="00F25AFA" w:rsidRPr="001077B0">
        <w:t>)</w:t>
      </w:r>
      <w:r w:rsidR="00E47C0F" w:rsidRPr="001077B0">
        <w:t xml:space="preserve"> proceeds from its oil </w:t>
      </w:r>
      <w:r w:rsidR="00E47C0F" w:rsidRPr="001077B0">
        <w:t>sales into the global financial system.</w:t>
      </w:r>
      <w:r w:rsidR="00E47C0F" w:rsidRPr="001077B0">
        <w:rPr>
          <w:rStyle w:val="EndnoteReference"/>
        </w:rPr>
        <w:endnoteReference w:id="51"/>
      </w:r>
      <w:r w:rsidR="00E47C0F" w:rsidRPr="001077B0">
        <w:t xml:space="preserve"> Key nodes of this shadow banking system include the financial arms of Iranian oil companies, local Iranian money exchanges, and front companies overseas</w:t>
      </w:r>
      <w:r w:rsidR="008B46A4" w:rsidRPr="001077B0">
        <w:rPr>
          <w:rFonts w:ascii="Helvetica" w:hAnsi="Helvetica"/>
          <w:color w:val="000000"/>
          <w:spacing w:val="7"/>
          <w:sz w:val="23"/>
          <w:szCs w:val="23"/>
          <w:shd w:val="clear" w:color="auto" w:fill="FFFFFF"/>
        </w:rPr>
        <w:t xml:space="preserve"> </w:t>
      </w:r>
      <w:r w:rsidR="008B46A4" w:rsidRPr="001077B0">
        <w:t>affiliated with Iran’s Ministry of Defense and Armed Forces Logistics (MODAFL)</w:t>
      </w:r>
      <w:r w:rsidR="00E47C0F" w:rsidRPr="001077B0">
        <w:t xml:space="preserve"> use</w:t>
      </w:r>
      <w:r w:rsidR="009D7BE8" w:rsidRPr="001077B0">
        <w:t>d</w:t>
      </w:r>
      <w:r w:rsidR="00E47C0F" w:rsidRPr="001077B0">
        <w:t xml:space="preserve"> to access foreign bank accounts, </w:t>
      </w:r>
      <w:r w:rsidR="00880656" w:rsidRPr="001077B0">
        <w:t>many</w:t>
      </w:r>
      <w:r w:rsidR="00E47C0F" w:rsidRPr="001077B0">
        <w:t xml:space="preserve"> of which are under Chinese jurisdiction</w:t>
      </w:r>
      <w:r w:rsidR="00F33D0D" w:rsidRPr="001077B0">
        <w:t>.</w:t>
      </w:r>
      <w:r w:rsidR="00F33D0D" w:rsidRPr="001077B0">
        <w:rPr>
          <w:rStyle w:val="EndnoteReference"/>
        </w:rPr>
        <w:endnoteReference w:id="52"/>
      </w:r>
      <w:r w:rsidR="008B46A4" w:rsidRPr="001077B0">
        <w:t xml:space="preserve"> </w:t>
      </w:r>
      <w:r w:rsidR="009D7BE8" w:rsidRPr="001077B0">
        <w:t>These offshore accounts and assets are used in part to finance the activities of the Islamic Revolutionary Guards Corps, Hizballah, Hamas, the Palestinian Islamic Jihad, the Houthis, and other Iran aligned militia groups</w:t>
      </w:r>
      <w:r w:rsidR="00F33D0D" w:rsidRPr="001077B0">
        <w:t>.</w:t>
      </w:r>
      <w:r w:rsidR="00F33D0D" w:rsidRPr="001077B0">
        <w:rPr>
          <w:rStyle w:val="EndnoteReference"/>
        </w:rPr>
        <w:endnoteReference w:id="53"/>
      </w:r>
      <w:r w:rsidR="009D7BE8" w:rsidRPr="001077B0">
        <w:t xml:space="preserve"> </w:t>
      </w:r>
      <w:r w:rsidR="008B46A4" w:rsidRPr="001077B0">
        <w:t>For more on China’s role in sanctions evasion, see Graham Ayres and Lyndi Tsering, “</w:t>
      </w:r>
      <w:hyperlink r:id="rId18" w:history="1">
        <w:r w:rsidR="008B46A4" w:rsidRPr="001077B0">
          <w:rPr>
            <w:rStyle w:val="Hyperlink"/>
          </w:rPr>
          <w:t>China’s Facilitation of Sanctions and Export Control Evasion</w:t>
        </w:r>
      </w:hyperlink>
      <w:r w:rsidR="008B46A4" w:rsidRPr="001077B0">
        <w:t xml:space="preserve">,” </w:t>
      </w:r>
      <w:r w:rsidR="008B46A4" w:rsidRPr="001077B0">
        <w:rPr>
          <w:i/>
          <w:iCs/>
        </w:rPr>
        <w:t>U.S.-China Economic and Security Review Commission</w:t>
      </w:r>
      <w:r w:rsidR="008B46A4" w:rsidRPr="001077B0">
        <w:t>, November 14, 2025.</w:t>
      </w:r>
      <w:bookmarkEnd w:id="2"/>
    </w:p>
    <w:p w14:paraId="637C0032" w14:textId="77777777" w:rsidR="00021BBE" w:rsidRPr="001077B0" w:rsidRDefault="00021BBE" w:rsidP="00021BBE">
      <w:pPr>
        <w:pStyle w:val="FigurePlacer"/>
        <w:sectPr w:rsidR="00021BBE" w:rsidRPr="001077B0" w:rsidSect="005C4C02">
          <w:headerReference w:type="default" r:id="rId19"/>
          <w:footnotePr>
            <w:numFmt w:val="chicago"/>
          </w:footnotePr>
          <w:endnotePr>
            <w:numFmt w:val="decimal"/>
          </w:endnotePr>
          <w:type w:val="continuous"/>
          <w:pgSz w:w="12240" w:h="15840"/>
          <w:pgMar w:top="1987" w:right="1080" w:bottom="1267" w:left="1080" w:header="720" w:footer="907" w:gutter="0"/>
          <w:cols w:num="2" w:space="360"/>
          <w:docGrid w:linePitch="360"/>
          <w15:footnoteColumns w:val="1"/>
        </w:sectPr>
      </w:pPr>
    </w:p>
    <w:p w14:paraId="015A3478" w14:textId="77777777" w:rsidR="00261703" w:rsidRPr="001077B0" w:rsidRDefault="00261703" w:rsidP="00021BBE">
      <w:pPr>
        <w:pStyle w:val="BodyText"/>
        <w:suppressAutoHyphens w:val="0"/>
      </w:pPr>
    </w:p>
    <w:p w14:paraId="7B2A5FB3" w14:textId="77777777" w:rsidR="00261703" w:rsidRPr="001077B0" w:rsidRDefault="00261703" w:rsidP="00021BBE">
      <w:pPr>
        <w:pStyle w:val="BodyText"/>
        <w:suppressAutoHyphens w:val="0"/>
      </w:pPr>
    </w:p>
    <w:p w14:paraId="798DD261" w14:textId="77777777" w:rsidR="00261703" w:rsidRPr="001077B0" w:rsidRDefault="00261703" w:rsidP="00021BBE">
      <w:pPr>
        <w:pStyle w:val="BodyText"/>
        <w:suppressAutoHyphens w:val="0"/>
      </w:pPr>
    </w:p>
    <w:p w14:paraId="387AB4B7" w14:textId="77777777" w:rsidR="00261703" w:rsidRPr="001077B0" w:rsidRDefault="00261703" w:rsidP="00021BBE">
      <w:pPr>
        <w:pStyle w:val="BodyText"/>
        <w:suppressAutoHyphens w:val="0"/>
      </w:pPr>
    </w:p>
    <w:p w14:paraId="6A39FD25" w14:textId="77777777" w:rsidR="00984D68" w:rsidRPr="001077B0" w:rsidRDefault="00984D68" w:rsidP="00021BBE">
      <w:pPr>
        <w:pStyle w:val="BodyText"/>
        <w:suppressAutoHyphens w:val="0"/>
      </w:pPr>
    </w:p>
    <w:p w14:paraId="27DDFD44" w14:textId="77777777" w:rsidR="00984D68" w:rsidRPr="001077B0" w:rsidRDefault="00984D68" w:rsidP="00021BBE">
      <w:pPr>
        <w:pStyle w:val="BodyText"/>
        <w:suppressAutoHyphens w:val="0"/>
      </w:pPr>
    </w:p>
    <w:p w14:paraId="5189D33F" w14:textId="77777777" w:rsidR="00984D68" w:rsidRPr="001077B0" w:rsidRDefault="00984D68" w:rsidP="00021BBE">
      <w:pPr>
        <w:pStyle w:val="BodyText"/>
        <w:suppressAutoHyphens w:val="0"/>
      </w:pPr>
    </w:p>
    <w:p w14:paraId="7471DBC8" w14:textId="77777777" w:rsidR="00984D68" w:rsidRPr="001077B0" w:rsidRDefault="00984D68" w:rsidP="00021BBE">
      <w:pPr>
        <w:pStyle w:val="BodyText"/>
        <w:suppressAutoHyphens w:val="0"/>
      </w:pPr>
    </w:p>
    <w:p w14:paraId="3B603816" w14:textId="77777777" w:rsidR="00984D68" w:rsidRPr="001077B0" w:rsidRDefault="00984D68" w:rsidP="00021BBE">
      <w:pPr>
        <w:pStyle w:val="BodyText"/>
        <w:suppressAutoHyphens w:val="0"/>
      </w:pPr>
    </w:p>
    <w:p w14:paraId="44C84D6C" w14:textId="77777777" w:rsidR="00984D68" w:rsidRPr="001077B0" w:rsidRDefault="00984D68" w:rsidP="00021BBE">
      <w:pPr>
        <w:pStyle w:val="BodyText"/>
        <w:suppressAutoHyphens w:val="0"/>
      </w:pPr>
    </w:p>
    <w:p w14:paraId="19B61D13" w14:textId="77777777" w:rsidR="00984D68" w:rsidRPr="001077B0" w:rsidRDefault="00984D68" w:rsidP="00021BBE">
      <w:pPr>
        <w:pStyle w:val="BodyText"/>
        <w:suppressAutoHyphens w:val="0"/>
      </w:pPr>
    </w:p>
    <w:p w14:paraId="2621BCE9" w14:textId="77777777" w:rsidR="00984D68" w:rsidRPr="001077B0" w:rsidRDefault="00984D68" w:rsidP="00021BBE">
      <w:pPr>
        <w:pStyle w:val="BodyText"/>
        <w:suppressAutoHyphens w:val="0"/>
      </w:pPr>
    </w:p>
    <w:p w14:paraId="79DFEEC9" w14:textId="5673A0CD" w:rsidR="00AB6E0D" w:rsidRPr="001077B0" w:rsidRDefault="00261703" w:rsidP="00261703">
      <w:pPr>
        <w:pStyle w:val="Footer"/>
        <w:jc w:val="both"/>
        <w:rPr>
          <w:color w:val="808080" w:themeColor="background1" w:themeShade="80"/>
          <w:sz w:val="16"/>
          <w:szCs w:val="9"/>
        </w:rPr>
      </w:pPr>
      <w:r w:rsidRPr="001077B0">
        <w:rPr>
          <w:b/>
          <w:color w:val="808080" w:themeColor="background1" w:themeShade="80"/>
          <w:sz w:val="16"/>
          <w:szCs w:val="9"/>
        </w:rPr>
        <w:t>Disclaimer:</w:t>
      </w:r>
      <w:r w:rsidRPr="001077B0">
        <w:rPr>
          <w:color w:val="808080" w:themeColor="background1" w:themeShade="80"/>
          <w:sz w:val="16"/>
          <w:szCs w:val="9"/>
        </w:rPr>
        <w:t xml:space="preserve"> </w:t>
      </w:r>
      <w:r w:rsidRPr="001077B0">
        <w:rPr>
          <w:rFonts w:ascii="Segoe UI Semilight" w:hAnsi="Segoe UI Semilight" w:cs="Segoe UI Semilight"/>
          <w:color w:val="808080" w:themeColor="background1" w:themeShade="80"/>
          <w:sz w:val="16"/>
          <w:szCs w:val="9"/>
        </w:rPr>
        <w:t xml:space="preserve">This paper is the product of professional research performed by staff of the U.S.-China Economic and Security Review </w:t>
      </w:r>
      <w:proofErr w:type="gramStart"/>
      <w:r w:rsidRPr="001077B0">
        <w:rPr>
          <w:rFonts w:ascii="Segoe UI Semilight" w:hAnsi="Segoe UI Semilight" w:cs="Segoe UI Semilight"/>
          <w:color w:val="808080" w:themeColor="background1" w:themeShade="80"/>
          <w:sz w:val="16"/>
          <w:szCs w:val="9"/>
        </w:rPr>
        <w:t>Commission, and</w:t>
      </w:r>
      <w:proofErr w:type="gramEnd"/>
      <w:r w:rsidRPr="001077B0">
        <w:rPr>
          <w:rFonts w:ascii="Segoe UI Semilight" w:hAnsi="Segoe UI Semilight" w:cs="Segoe UI Semilight"/>
          <w:color w:val="808080" w:themeColor="background1" w:themeShade="80"/>
          <w:sz w:val="16"/>
          <w:szCs w:val="9"/>
        </w:rPr>
        <w:t xml:space="preserve"> was prepared at the request of the Commission to support its deliberations. Posting of the report to the Commission’s website is intended to promote greater public understanding of the issues addressed by the Commission in its ongoing assessment of U.S.-China economic relations and their implications for U.S. security, as mandated by Public Law 106-398 and Public Law 113-291. However, the public release of this document does not necessarily imply </w:t>
      </w:r>
      <w:proofErr w:type="gramStart"/>
      <w:r w:rsidRPr="001077B0">
        <w:rPr>
          <w:rFonts w:ascii="Segoe UI Semilight" w:hAnsi="Segoe UI Semilight" w:cs="Segoe UI Semilight"/>
          <w:color w:val="808080" w:themeColor="background1" w:themeShade="80"/>
          <w:sz w:val="16"/>
          <w:szCs w:val="9"/>
        </w:rPr>
        <w:t>an endorsement</w:t>
      </w:r>
      <w:proofErr w:type="gramEnd"/>
      <w:r w:rsidRPr="001077B0">
        <w:rPr>
          <w:rFonts w:ascii="Segoe UI Semilight" w:hAnsi="Segoe UI Semilight" w:cs="Segoe UI Semilight"/>
          <w:color w:val="808080" w:themeColor="background1" w:themeShade="80"/>
          <w:sz w:val="16"/>
          <w:szCs w:val="9"/>
        </w:rPr>
        <w:t xml:space="preserve"> by the Commission, any individual Commissioner, or the Commission’s other professional staff, of the views or conclusions expressed in this staff research report.</w:t>
      </w:r>
      <w:r w:rsidR="00AB6E0D" w:rsidRPr="001077B0">
        <w:br w:type="page"/>
      </w:r>
    </w:p>
    <w:p w14:paraId="1ED89466" w14:textId="77777777" w:rsidR="00012242" w:rsidRPr="00B0597D" w:rsidRDefault="004707DF" w:rsidP="004707DF">
      <w:pPr>
        <w:pStyle w:val="Heading1"/>
      </w:pPr>
      <w:r w:rsidRPr="001077B0">
        <w:lastRenderedPageBreak/>
        <w:t>Endnotes</w:t>
      </w:r>
    </w:p>
    <w:sectPr w:rsidR="00012242" w:rsidRPr="00B0597D" w:rsidSect="00AB71BB">
      <w:footnotePr>
        <w:numFmt w:val="chicago"/>
      </w:footnotePr>
      <w:endnotePr>
        <w:numFmt w:val="decimal"/>
      </w:endnotePr>
      <w:type w:val="continuous"/>
      <w:pgSz w:w="12240" w:h="15840"/>
      <w:pgMar w:top="1980" w:right="1080" w:bottom="1260" w:left="1080" w:header="720" w:footer="907" w:gutter="0"/>
      <w:cols w:space="36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B3E80" w14:textId="77777777" w:rsidR="00F572CE" w:rsidRPr="00CB44FC" w:rsidRDefault="00F572CE" w:rsidP="00CB44FC">
      <w:pPr>
        <w:pStyle w:val="EndnoteText"/>
      </w:pPr>
    </w:p>
  </w:endnote>
  <w:endnote w:type="continuationSeparator" w:id="0">
    <w:p w14:paraId="00A41831" w14:textId="77777777" w:rsidR="00F572CE" w:rsidRPr="00CB44FC" w:rsidRDefault="00F572CE" w:rsidP="00CB44FC">
      <w:pPr>
        <w:pStyle w:val="EndnoteText"/>
      </w:pPr>
    </w:p>
  </w:endnote>
  <w:endnote w:type="continuationNotice" w:id="1">
    <w:p w14:paraId="7A6AC2A2" w14:textId="77777777" w:rsidR="00F572CE" w:rsidRDefault="00F572CE" w:rsidP="00CB44FC">
      <w:pPr>
        <w:pStyle w:val="EndnoteText"/>
      </w:pPr>
    </w:p>
  </w:endnote>
  <w:endnote w:id="2">
    <w:p w14:paraId="78CD8434" w14:textId="77777777" w:rsidR="00874A78" w:rsidRPr="00C63413" w:rsidRDefault="00874A78" w:rsidP="00021BBE">
      <w:pPr>
        <w:pStyle w:val="EndnoteText"/>
        <w:ind w:left="0" w:firstLine="0"/>
        <w:rPr>
          <w:rFonts w:cstheme="minorHAnsi"/>
          <w:szCs w:val="16"/>
        </w:rPr>
      </w:pPr>
      <w:r w:rsidRPr="7451F98B">
        <w:rPr>
          <w:rStyle w:val="EndnoteReference"/>
        </w:rPr>
        <w:endnoteRef/>
      </w:r>
      <w:r>
        <w:t xml:space="preserve"> </w:t>
      </w:r>
      <w:r w:rsidRPr="00C63413">
        <w:rPr>
          <w:rFonts w:cstheme="minorHAnsi"/>
          <w:szCs w:val="16"/>
        </w:rPr>
        <w:t xml:space="preserve">Juan Zhang, ”Why China Opposes a Nuclear-Armed Iran,” </w:t>
      </w:r>
      <w:r w:rsidRPr="00C63413">
        <w:rPr>
          <w:rFonts w:cstheme="minorHAnsi"/>
          <w:i/>
          <w:iCs/>
          <w:szCs w:val="16"/>
        </w:rPr>
        <w:t>U.S.-China Perception Monitor</w:t>
      </w:r>
      <w:r w:rsidRPr="00C63413">
        <w:rPr>
          <w:rFonts w:cstheme="minorHAnsi"/>
          <w:szCs w:val="16"/>
        </w:rPr>
        <w:t xml:space="preserve">, June 24, 2025. </w:t>
      </w:r>
      <w:hyperlink r:id="rId1" w:history="1">
        <w:r w:rsidRPr="00C63413">
          <w:rPr>
            <w:rStyle w:val="Hyperlink"/>
            <w:rFonts w:cstheme="minorHAnsi"/>
            <w:szCs w:val="16"/>
          </w:rPr>
          <w:t>https://uscnpm.org/analysis/why-china-opposes-a-nuclear-armed-iran/</w:t>
        </w:r>
      </w:hyperlink>
      <w:r w:rsidRPr="00C63413">
        <w:rPr>
          <w:rFonts w:cstheme="minorHAnsi"/>
          <w:szCs w:val="16"/>
        </w:rPr>
        <w:t>.</w:t>
      </w:r>
    </w:p>
  </w:endnote>
  <w:endnote w:id="3">
    <w:p w14:paraId="7F55C529" w14:textId="35FCC240" w:rsidR="00874A78" w:rsidRPr="00C63413" w:rsidRDefault="00874A78" w:rsidP="00021BBE">
      <w:pPr>
        <w:pStyle w:val="EndnoteText"/>
        <w:ind w:left="0" w:firstLine="0"/>
        <w:rPr>
          <w:rFonts w:cstheme="minorHAnsi"/>
          <w:szCs w:val="16"/>
        </w:rPr>
      </w:pPr>
      <w:r w:rsidRPr="00C63413">
        <w:rPr>
          <w:rStyle w:val="EndnoteReference"/>
          <w:rFonts w:cstheme="minorHAnsi"/>
          <w:szCs w:val="16"/>
        </w:rPr>
        <w:endnoteRef/>
      </w:r>
      <w:r w:rsidRPr="00C63413">
        <w:rPr>
          <w:rFonts w:cstheme="minorHAnsi"/>
          <w:szCs w:val="16"/>
        </w:rPr>
        <w:t xml:space="preserve"> U.S.-China Economic and Security Review Commission, “Axis of Autocracy: China’s Revisionist Ambitions with Russia, Iran, and North Korea,” </w:t>
      </w:r>
      <w:r w:rsidRPr="00C63413">
        <w:rPr>
          <w:rFonts w:cstheme="minorHAnsi"/>
          <w:i/>
          <w:iCs/>
          <w:szCs w:val="16"/>
        </w:rPr>
        <w:t>2025 Annual Report to Congress</w:t>
      </w:r>
      <w:r w:rsidRPr="00C63413">
        <w:rPr>
          <w:rFonts w:cstheme="minorHAnsi"/>
          <w:szCs w:val="16"/>
        </w:rPr>
        <w:t xml:space="preserve">, November 2025, 172. </w:t>
      </w:r>
      <w:hyperlink r:id="rId2" w:history="1">
        <w:r w:rsidRPr="00C63413">
          <w:rPr>
            <w:rStyle w:val="Hyperlink"/>
            <w:rFonts w:cstheme="minorHAnsi"/>
            <w:szCs w:val="16"/>
          </w:rPr>
          <w:t>https://www.uscc.gov/sites/default/files/2025-11/2025_Annual_Report_to_Congress.pdf</w:t>
        </w:r>
      </w:hyperlink>
      <w:r w:rsidRPr="00C63413">
        <w:rPr>
          <w:rFonts w:cstheme="minorHAnsi"/>
          <w:szCs w:val="16"/>
        </w:rPr>
        <w:t xml:space="preserve">. </w:t>
      </w:r>
    </w:p>
  </w:endnote>
  <w:endnote w:id="4">
    <w:p w14:paraId="1879A2EB" w14:textId="00EE4296" w:rsidR="00874A78" w:rsidRPr="005F719C" w:rsidRDefault="00874A78" w:rsidP="00021BBE">
      <w:pPr>
        <w:pStyle w:val="EndnoteText"/>
        <w:ind w:left="0" w:firstLine="0"/>
        <w:rPr>
          <w:rFonts w:cstheme="minorHAnsi"/>
          <w:i/>
          <w:iCs/>
          <w:szCs w:val="16"/>
        </w:rPr>
      </w:pPr>
      <w:r w:rsidRPr="00C56988">
        <w:rPr>
          <w:rStyle w:val="EndnoteReference"/>
          <w:rFonts w:cstheme="minorHAnsi"/>
          <w:color w:val="auto"/>
          <w:szCs w:val="16"/>
        </w:rPr>
        <w:endnoteRef/>
      </w:r>
      <w:r w:rsidRPr="00C56988">
        <w:rPr>
          <w:rFonts w:cstheme="minorHAnsi"/>
          <w:color w:val="auto"/>
          <w:szCs w:val="16"/>
        </w:rPr>
        <w:t xml:space="preserve"> </w:t>
      </w:r>
      <w:r w:rsidRPr="00C56988">
        <w:rPr>
          <w:rFonts w:eastAsia="Segoe UI" w:cstheme="minorHAnsi"/>
          <w:color w:val="auto"/>
          <w:szCs w:val="16"/>
        </w:rPr>
        <w:t xml:space="preserve">U.S.-China Economic and Security Review Commission, Chapter 3, “Axis of Autocracy: China's Revisionist Ambitions with Russia, Iran, and North Korea,” </w:t>
      </w:r>
      <w:r w:rsidRPr="00C56988">
        <w:rPr>
          <w:rFonts w:eastAsia="Segoe UI" w:cstheme="minorHAnsi"/>
          <w:i/>
          <w:iCs/>
          <w:color w:val="auto"/>
          <w:szCs w:val="16"/>
        </w:rPr>
        <w:t>2025 Annual Report to Congress</w:t>
      </w:r>
      <w:r w:rsidRPr="00C56988">
        <w:rPr>
          <w:rFonts w:eastAsia="Segoe UI" w:cstheme="minorHAnsi"/>
          <w:color w:val="auto"/>
          <w:szCs w:val="16"/>
        </w:rPr>
        <w:t>, November 2025</w:t>
      </w:r>
      <w:r w:rsidR="005D4126">
        <w:rPr>
          <w:rFonts w:eastAsia="Segoe UI" w:cstheme="minorHAnsi"/>
          <w:color w:val="auto"/>
          <w:szCs w:val="16"/>
        </w:rPr>
        <w:t>,</w:t>
      </w:r>
      <w:r w:rsidRPr="00C56988">
        <w:rPr>
          <w:rFonts w:eastAsia="Segoe UI" w:cstheme="minorHAnsi"/>
          <w:color w:val="auto"/>
          <w:szCs w:val="16"/>
        </w:rPr>
        <w:t xml:space="preserve"> 156</w:t>
      </w:r>
      <w:r w:rsidR="005D4126">
        <w:rPr>
          <w:rFonts w:eastAsia="Segoe UI" w:cstheme="minorHAnsi"/>
          <w:color w:val="auto"/>
          <w:szCs w:val="16"/>
        </w:rPr>
        <w:t>–</w:t>
      </w:r>
      <w:r w:rsidRPr="00C56988">
        <w:rPr>
          <w:rFonts w:eastAsia="Segoe UI" w:cstheme="minorHAnsi"/>
          <w:color w:val="auto"/>
          <w:szCs w:val="16"/>
        </w:rPr>
        <w:t xml:space="preserve">157. </w:t>
      </w:r>
      <w:r w:rsidRPr="00C56988">
        <w:rPr>
          <w:rFonts w:eastAsia="Segoe UI" w:cstheme="minorHAnsi"/>
          <w:i/>
          <w:iCs/>
          <w:color w:val="auto"/>
          <w:szCs w:val="16"/>
        </w:rPr>
        <w:t xml:space="preserve">https://www.uscc.gov/sites/default/files/2025-11/2025_Annual_Report_to_Congress.pdf.  </w:t>
      </w:r>
    </w:p>
  </w:endnote>
  <w:endnote w:id="5">
    <w:p w14:paraId="0D6BCFF1" w14:textId="3FB142E8" w:rsidR="00874A78" w:rsidRPr="005F719C" w:rsidRDefault="00874A78" w:rsidP="00021BBE">
      <w:pPr>
        <w:pStyle w:val="EndnoteText"/>
        <w:shd w:val="clear" w:color="auto" w:fill="FFFFFF" w:themeFill="background1"/>
        <w:ind w:left="0" w:firstLine="0"/>
        <w:rPr>
          <w:rFonts w:eastAsia="Segoe UI"/>
          <w:color w:val="333333"/>
        </w:rPr>
      </w:pPr>
      <w:r w:rsidRPr="00C63413">
        <w:rPr>
          <w:rStyle w:val="EndnoteReference"/>
          <w:rFonts w:cstheme="minorHAnsi"/>
          <w:szCs w:val="16"/>
        </w:rPr>
        <w:endnoteRef/>
      </w:r>
      <w:r w:rsidRPr="00C63413">
        <w:rPr>
          <w:rFonts w:cstheme="minorHAnsi"/>
          <w:szCs w:val="16"/>
        </w:rPr>
        <w:t xml:space="preserve"> Ana Ionova, "A Loose Band of Emerging Powers Is Divided </w:t>
      </w:r>
      <w:r w:rsidR="005D4126" w:rsidRPr="00C63413">
        <w:rPr>
          <w:rFonts w:cstheme="minorHAnsi"/>
          <w:szCs w:val="16"/>
        </w:rPr>
        <w:t xml:space="preserve">over </w:t>
      </w:r>
      <w:r w:rsidRPr="00C63413">
        <w:rPr>
          <w:rFonts w:cstheme="minorHAnsi"/>
          <w:szCs w:val="16"/>
        </w:rPr>
        <w:t xml:space="preserve">Iran," </w:t>
      </w:r>
      <w:r w:rsidRPr="00C56988">
        <w:rPr>
          <w:rFonts w:cstheme="minorHAnsi"/>
          <w:i/>
          <w:iCs/>
          <w:szCs w:val="16"/>
        </w:rPr>
        <w:t>New York Times</w:t>
      </w:r>
      <w:r w:rsidRPr="00C63413">
        <w:rPr>
          <w:rFonts w:cstheme="minorHAnsi"/>
          <w:szCs w:val="16"/>
        </w:rPr>
        <w:t xml:space="preserve">, March 8, 2026. </w:t>
      </w:r>
      <w:hyperlink r:id="rId3" w:history="1">
        <w:r w:rsidR="005D4126" w:rsidRPr="00C56988">
          <w:rPr>
            <w:rStyle w:val="Hyperlink"/>
            <w:rFonts w:cstheme="minorHAnsi"/>
            <w:szCs w:val="16"/>
          </w:rPr>
          <w:t>https://www.nytimes.com/2026/03/08/world/middleeast/brics-iran-allies-us-israel-war.html</w:t>
        </w:r>
      </w:hyperlink>
      <w:r w:rsidRPr="00C63413">
        <w:rPr>
          <w:rFonts w:cstheme="minorHAnsi"/>
          <w:szCs w:val="16"/>
        </w:rPr>
        <w:t xml:space="preserve">; </w:t>
      </w:r>
      <w:r w:rsidRPr="00C63413">
        <w:t xml:space="preserve">"Confusion Surrounds Iran’s Possible Exit of Will for Peace Naval Exercise," </w:t>
      </w:r>
      <w:r w:rsidR="005D4126" w:rsidRPr="00C56988">
        <w:rPr>
          <w:i/>
          <w:iCs/>
        </w:rPr>
        <w:t>Defenseweb</w:t>
      </w:r>
      <w:r w:rsidR="005D4126" w:rsidRPr="00C63413">
        <w:t>,</w:t>
      </w:r>
      <w:r w:rsidR="005D4126">
        <w:t xml:space="preserve"> </w:t>
      </w:r>
      <w:r w:rsidRPr="00C63413">
        <w:t>January 13, 2025</w:t>
      </w:r>
      <w:r>
        <w:t xml:space="preserve">. </w:t>
      </w:r>
      <w:r w:rsidRPr="005F719C">
        <w:rPr>
          <w:i/>
          <w:iCs/>
        </w:rPr>
        <w:t>https://defenceweb.co.za/sea/sea-sea/iran-exits-will-for-peace-naval-exercise</w:t>
      </w:r>
      <w:r w:rsidRPr="00C63413">
        <w:t xml:space="preserve">; Dzirhan Mahadzir, "Chinese, Russian, Iranian Warships Gather </w:t>
      </w:r>
      <w:r w:rsidR="005D4126">
        <w:t>n</w:t>
      </w:r>
      <w:r w:rsidRPr="00C63413">
        <w:t xml:space="preserve">ear South Africa for Multilateral Drill," </w:t>
      </w:r>
      <w:r w:rsidRPr="00C56988">
        <w:rPr>
          <w:i/>
          <w:iCs/>
        </w:rPr>
        <w:t>USNI News</w:t>
      </w:r>
      <w:r w:rsidRPr="00C63413">
        <w:t xml:space="preserve">, January 9, 2026. </w:t>
      </w:r>
      <w:hyperlink r:id="rId4" w:history="1">
        <w:r w:rsidRPr="005F719C">
          <w:rPr>
            <w:rStyle w:val="Hyperlink"/>
            <w:rFonts w:eastAsia="Segoe UI" w:cstheme="minorHAnsi"/>
            <w:color w:val="0000EE"/>
            <w:szCs w:val="16"/>
          </w:rPr>
          <w:t>https://news.usni.org/2026/01/09/chinese-russian-iranian-warships-gather-near-south-africa-for-multilateral-drill.</w:t>
        </w:r>
      </w:hyperlink>
    </w:p>
  </w:endnote>
  <w:endnote w:id="6">
    <w:p w14:paraId="5A895413" w14:textId="77777777" w:rsidR="00874A78" w:rsidRPr="002C6187" w:rsidRDefault="00874A78" w:rsidP="00021BBE">
      <w:pPr>
        <w:pStyle w:val="EndnoteText"/>
        <w:ind w:left="0" w:firstLine="0"/>
        <w:rPr>
          <w:rFonts w:cstheme="minorHAnsi"/>
          <w:szCs w:val="16"/>
        </w:rPr>
      </w:pPr>
      <w:r>
        <w:rPr>
          <w:rStyle w:val="EndnoteReference"/>
        </w:rPr>
        <w:endnoteRef/>
      </w:r>
      <w:r>
        <w:t xml:space="preserve"> </w:t>
      </w:r>
      <w:r w:rsidRPr="00C63413">
        <w:rPr>
          <w:rFonts w:cstheme="minorHAnsi"/>
          <w:szCs w:val="16"/>
        </w:rPr>
        <w:t>Ministry of Foreign Affairs of the People's Republic of China, 2026</w:t>
      </w:r>
      <w:r w:rsidRPr="00C63413">
        <w:rPr>
          <w:rFonts w:cstheme="minorHAnsi"/>
          <w:szCs w:val="16"/>
        </w:rPr>
        <w:t>年</w:t>
      </w:r>
      <w:r w:rsidRPr="00C63413">
        <w:rPr>
          <w:rFonts w:cstheme="minorHAnsi"/>
          <w:szCs w:val="16"/>
        </w:rPr>
        <w:t>3</w:t>
      </w:r>
      <w:r w:rsidRPr="00C63413">
        <w:rPr>
          <w:rFonts w:cstheme="minorHAnsi"/>
          <w:szCs w:val="16"/>
        </w:rPr>
        <w:t>月</w:t>
      </w:r>
      <w:r w:rsidRPr="00C63413">
        <w:rPr>
          <w:rFonts w:cstheme="minorHAnsi"/>
          <w:szCs w:val="16"/>
        </w:rPr>
        <w:t>2</w:t>
      </w:r>
      <w:r w:rsidRPr="00C63413">
        <w:rPr>
          <w:rFonts w:cstheme="minorHAnsi"/>
          <w:szCs w:val="16"/>
        </w:rPr>
        <w:t>日外交部发言人毛宁主持例行记者会</w:t>
      </w:r>
      <w:r w:rsidRPr="00C63413">
        <w:rPr>
          <w:rFonts w:cstheme="minorHAnsi"/>
          <w:szCs w:val="16"/>
        </w:rPr>
        <w:t> [Foreign Ministry Spokesperson Mao Ning presided over a regular press conference on March 2, 2026], </w:t>
      </w:r>
      <w:r>
        <w:rPr>
          <w:rFonts w:cstheme="minorHAnsi"/>
          <w:szCs w:val="16"/>
        </w:rPr>
        <w:t>March 2, 2026.</w:t>
      </w:r>
      <w:r w:rsidRPr="00C63413">
        <w:rPr>
          <w:rFonts w:cstheme="minorHAnsi"/>
          <w:szCs w:val="16"/>
        </w:rPr>
        <w:t xml:space="preserve"> </w:t>
      </w:r>
      <w:r w:rsidRPr="00C56988">
        <w:rPr>
          <w:rFonts w:cstheme="minorHAnsi"/>
          <w:i/>
          <w:iCs/>
          <w:szCs w:val="16"/>
        </w:rPr>
        <w:t>https://web.archive.org/web/20260310135801/https://www.mfa.gov.cn/web/wjdt_674879/fyrbt_674889/202603/t20260302_11867140.shtml</w:t>
      </w:r>
      <w:r w:rsidRPr="00C63413">
        <w:rPr>
          <w:rFonts w:cstheme="minorHAnsi"/>
          <w:szCs w:val="16"/>
        </w:rPr>
        <w:t>; “</w:t>
      </w:r>
      <w:r w:rsidRPr="00C63413">
        <w:rPr>
          <w:rFonts w:cstheme="minorHAnsi"/>
          <w:szCs w:val="16"/>
        </w:rPr>
        <w:t>中方对美以对伊朗发动军事打击深表关切</w:t>
      </w:r>
      <w:r w:rsidRPr="00C63413">
        <w:rPr>
          <w:rFonts w:cstheme="minorHAnsi"/>
          <w:szCs w:val="16"/>
        </w:rPr>
        <w:t> [China is Deeply Concerned About the Military Strikes Launched by the United States and Israel against Iran],” </w:t>
      </w:r>
      <w:r w:rsidRPr="0086151D">
        <w:rPr>
          <w:rFonts w:cstheme="minorHAnsi"/>
          <w:i/>
          <w:iCs/>
          <w:szCs w:val="16"/>
        </w:rPr>
        <w:t>China Daily</w:t>
      </w:r>
      <w:r w:rsidRPr="00C63413">
        <w:rPr>
          <w:rFonts w:cstheme="minorHAnsi"/>
          <w:szCs w:val="16"/>
        </w:rPr>
        <w:t>, March 1, 2026</w:t>
      </w:r>
      <w:r>
        <w:rPr>
          <w:rFonts w:cstheme="minorHAnsi"/>
          <w:szCs w:val="16"/>
        </w:rPr>
        <w:t>.</w:t>
      </w:r>
      <w:r w:rsidRPr="002717EF">
        <w:t xml:space="preserve"> </w:t>
      </w:r>
      <w:r w:rsidRPr="00C56988">
        <w:rPr>
          <w:rFonts w:cstheme="minorHAnsi"/>
          <w:i/>
          <w:iCs/>
          <w:szCs w:val="16"/>
        </w:rPr>
        <w:t>https://web.archive.org/web/20260310143341/https://www.news.cn/world/20260301/bc9ee31da84744e492a52b3027eb751b/c.html</w:t>
      </w:r>
      <w:r w:rsidRPr="00C63413">
        <w:rPr>
          <w:rFonts w:cstheme="minorHAnsi"/>
          <w:szCs w:val="16"/>
        </w:rPr>
        <w:t xml:space="preserve">; China’s Ministry of Foreign Affairs, </w:t>
      </w:r>
      <w:r w:rsidRPr="0086151D">
        <w:rPr>
          <w:rFonts w:cstheme="minorHAnsi"/>
          <w:szCs w:val="16"/>
        </w:rPr>
        <w:t>王毅同俄罗斯外长拉夫罗夫通电</w:t>
      </w:r>
      <w:r w:rsidRPr="0086151D">
        <w:rPr>
          <w:rFonts w:cstheme="minorHAnsi"/>
          <w:szCs w:val="16"/>
        </w:rPr>
        <w:t xml:space="preserve"> [ Wang Yi Spoke by Phone with Russian Foreign Minister Lavrov], March 1, 2026.</w:t>
      </w:r>
      <w:r w:rsidRPr="00C63413">
        <w:rPr>
          <w:rFonts w:cstheme="minorHAnsi"/>
          <w:szCs w:val="16"/>
        </w:rPr>
        <w:t xml:space="preserve"> </w:t>
      </w:r>
      <w:hyperlink r:id="rId5" w:history="1">
        <w:r w:rsidRPr="00C56988">
          <w:rPr>
            <w:rStyle w:val="Hyperlink"/>
            <w:i/>
            <w:iCs/>
          </w:rPr>
          <w:t>https://web.archive.org/web/20260310180942/https://www.mfa.gov.cn/wjbzhd/202603/t20260301_11866719.shtml</w:t>
        </w:r>
      </w:hyperlink>
      <w:r>
        <w:rPr>
          <w:rFonts w:cstheme="minorHAnsi"/>
          <w:szCs w:val="16"/>
        </w:rPr>
        <w:t xml:space="preserve">; China’s Ministry of Foreign Affairs, </w:t>
      </w:r>
      <w:r w:rsidRPr="0003137F">
        <w:rPr>
          <w:rFonts w:cstheme="minorHAnsi" w:hint="eastAsia"/>
          <w:szCs w:val="16"/>
        </w:rPr>
        <w:t>外交部发言人就伊朗最高领袖哈梅内伊遇害答记者问</w:t>
      </w:r>
      <w:r>
        <w:rPr>
          <w:rFonts w:cstheme="minorHAnsi"/>
          <w:szCs w:val="16"/>
        </w:rPr>
        <w:t xml:space="preserve"> [</w:t>
      </w:r>
      <w:r w:rsidRPr="0003137F">
        <w:rPr>
          <w:rFonts w:cstheme="minorHAnsi"/>
          <w:szCs w:val="16"/>
        </w:rPr>
        <w:t>Foreign Ministry Spokesperson Answers Reporters' Questions on the Assassination of Iranian Supreme Leader Ayatollah Khamenei</w:t>
      </w:r>
      <w:r>
        <w:rPr>
          <w:rFonts w:cstheme="minorHAnsi"/>
          <w:szCs w:val="16"/>
        </w:rPr>
        <w:t xml:space="preserve">], March 1, 2026. </w:t>
      </w:r>
      <w:hyperlink r:id="rId6" w:history="1">
        <w:r w:rsidRPr="00C56988">
          <w:rPr>
            <w:rStyle w:val="Hyperlink"/>
            <w:rFonts w:cstheme="minorHAnsi"/>
            <w:i/>
            <w:iCs/>
            <w:szCs w:val="16"/>
          </w:rPr>
          <w:t>https://web.archive.org/web/20260308044457/https://www.mfa.gov.cn/fyrbt_673021/202603/t20260301_11866721.shtml</w:t>
        </w:r>
      </w:hyperlink>
      <w:r>
        <w:rPr>
          <w:rFonts w:cstheme="minorHAnsi"/>
          <w:szCs w:val="16"/>
        </w:rPr>
        <w:t xml:space="preserve">. </w:t>
      </w:r>
    </w:p>
  </w:endnote>
  <w:endnote w:id="7">
    <w:p w14:paraId="616B49D9" w14:textId="753C1F2F" w:rsidR="00874A78" w:rsidRPr="00C63413" w:rsidRDefault="00874A78" w:rsidP="00021BBE">
      <w:pPr>
        <w:pStyle w:val="EndnoteText"/>
        <w:ind w:left="0" w:firstLine="0"/>
        <w:rPr>
          <w:rFonts w:cstheme="minorHAnsi"/>
          <w:szCs w:val="16"/>
        </w:rPr>
      </w:pPr>
      <w:r w:rsidRPr="00C63413">
        <w:rPr>
          <w:rStyle w:val="EndnoteReference"/>
          <w:rFonts w:cstheme="minorHAnsi"/>
          <w:szCs w:val="16"/>
        </w:rPr>
        <w:endnoteRef/>
      </w:r>
      <w:r w:rsidRPr="00C63413">
        <w:rPr>
          <w:rFonts w:cstheme="minorHAnsi"/>
          <w:szCs w:val="16"/>
        </w:rPr>
        <w:t xml:space="preserve"> Saadet Gokce, “Mideast </w:t>
      </w:r>
      <w:r w:rsidR="00182DAA" w:rsidRPr="00C63413">
        <w:rPr>
          <w:rFonts w:cstheme="minorHAnsi"/>
          <w:szCs w:val="16"/>
        </w:rPr>
        <w:t>Tensions</w:t>
      </w:r>
      <w:r w:rsidRPr="00C63413">
        <w:rPr>
          <w:rFonts w:cstheme="minorHAnsi"/>
          <w:szCs w:val="16"/>
        </w:rPr>
        <w:t xml:space="preserve">: China </w:t>
      </w:r>
      <w:r w:rsidR="00182DAA" w:rsidRPr="00C63413">
        <w:rPr>
          <w:rFonts w:cstheme="minorHAnsi"/>
          <w:szCs w:val="16"/>
        </w:rPr>
        <w:t>Condemns Targeting Civilians</w:t>
      </w:r>
      <w:r w:rsidRPr="00C63413">
        <w:rPr>
          <w:rFonts w:cstheme="minorHAnsi"/>
          <w:szCs w:val="16"/>
        </w:rPr>
        <w:t xml:space="preserve">, </w:t>
      </w:r>
      <w:r w:rsidR="00182DAA" w:rsidRPr="00C63413">
        <w:rPr>
          <w:rFonts w:cstheme="minorHAnsi"/>
          <w:szCs w:val="16"/>
        </w:rPr>
        <w:t xml:space="preserve">Says 'Does Not Agree' </w:t>
      </w:r>
      <w:r w:rsidRPr="00C63413">
        <w:rPr>
          <w:rFonts w:cstheme="minorHAnsi"/>
          <w:szCs w:val="16"/>
        </w:rPr>
        <w:t xml:space="preserve">with </w:t>
      </w:r>
      <w:r w:rsidR="00182DAA" w:rsidRPr="00C63413">
        <w:rPr>
          <w:rFonts w:cstheme="minorHAnsi"/>
          <w:szCs w:val="16"/>
        </w:rPr>
        <w:t xml:space="preserve">Attacks </w:t>
      </w:r>
      <w:r w:rsidRPr="00C63413">
        <w:rPr>
          <w:rFonts w:cstheme="minorHAnsi"/>
          <w:szCs w:val="16"/>
        </w:rPr>
        <w:t xml:space="preserve">on Gulf </w:t>
      </w:r>
      <w:r w:rsidR="00182DAA" w:rsidRPr="00C63413">
        <w:rPr>
          <w:rFonts w:cstheme="minorHAnsi"/>
          <w:szCs w:val="16"/>
        </w:rPr>
        <w:t>Region</w:t>
      </w:r>
      <w:r w:rsidRPr="00C63413">
        <w:rPr>
          <w:rFonts w:cstheme="minorHAnsi"/>
          <w:szCs w:val="16"/>
        </w:rPr>
        <w:t xml:space="preserve">,” </w:t>
      </w:r>
      <w:r w:rsidRPr="00C63413">
        <w:rPr>
          <w:rFonts w:cstheme="minorHAnsi"/>
          <w:i/>
          <w:iCs/>
          <w:szCs w:val="16"/>
        </w:rPr>
        <w:t>Anadolu Agency</w:t>
      </w:r>
      <w:r w:rsidRPr="00C63413">
        <w:rPr>
          <w:rFonts w:cstheme="minorHAnsi"/>
          <w:szCs w:val="16"/>
        </w:rPr>
        <w:t xml:space="preserve">, March 11, 2026. </w:t>
      </w:r>
      <w:hyperlink r:id="rId7" w:history="1">
        <w:r w:rsidRPr="00C56988">
          <w:rPr>
            <w:rStyle w:val="Hyperlink"/>
            <w:rFonts w:cstheme="minorHAnsi"/>
            <w:szCs w:val="16"/>
          </w:rPr>
          <w:t>https://www.aa.com.tr/en/asia-pacific/mideast-tensions-china-condemns-targeting-civilians-says-does-not-agree-with-attacks-on-gulf-region/3859254</w:t>
        </w:r>
      </w:hyperlink>
      <w:r w:rsidRPr="00182DAA">
        <w:rPr>
          <w:rFonts w:cstheme="minorHAnsi"/>
          <w:szCs w:val="16"/>
        </w:rPr>
        <w:t>;</w:t>
      </w:r>
      <w:r w:rsidRPr="00C63413">
        <w:rPr>
          <w:rFonts w:cstheme="minorHAnsi"/>
          <w:szCs w:val="16"/>
        </w:rPr>
        <w:t xml:space="preserve"> China’s Ministry of Foreign Affairs,</w:t>
      </w:r>
      <w:r w:rsidRPr="00AF5664">
        <w:rPr>
          <w:rFonts w:cstheme="minorHAnsi"/>
          <w:szCs w:val="16"/>
        </w:rPr>
        <w:t xml:space="preserve"> 2026</w:t>
      </w:r>
      <w:r w:rsidRPr="00AF5664">
        <w:rPr>
          <w:rFonts w:cstheme="minorHAnsi" w:hint="eastAsia"/>
          <w:szCs w:val="16"/>
        </w:rPr>
        <w:t>年</w:t>
      </w:r>
      <w:r w:rsidRPr="00AF5664">
        <w:rPr>
          <w:rFonts w:cstheme="minorHAnsi"/>
          <w:szCs w:val="16"/>
        </w:rPr>
        <w:t>3</w:t>
      </w:r>
      <w:r w:rsidRPr="00AF5664">
        <w:rPr>
          <w:rFonts w:cstheme="minorHAnsi" w:hint="eastAsia"/>
          <w:szCs w:val="16"/>
        </w:rPr>
        <w:t>月</w:t>
      </w:r>
      <w:r w:rsidRPr="00AF5664">
        <w:rPr>
          <w:rFonts w:cstheme="minorHAnsi"/>
          <w:szCs w:val="16"/>
        </w:rPr>
        <w:t>11</w:t>
      </w:r>
      <w:r w:rsidRPr="00AF5664">
        <w:rPr>
          <w:rFonts w:cstheme="minorHAnsi" w:hint="eastAsia"/>
          <w:szCs w:val="16"/>
        </w:rPr>
        <w:t>日外交部发言人郭嘉昆主持例行记者会</w:t>
      </w:r>
      <w:r w:rsidRPr="00C63413">
        <w:rPr>
          <w:rFonts w:cstheme="minorHAnsi"/>
          <w:szCs w:val="16"/>
        </w:rPr>
        <w:t xml:space="preserve"> [On March 11, 2026, Foreign Ministry Spokesperson Guo </w:t>
      </w:r>
      <w:r w:rsidRPr="00C63413">
        <w:rPr>
          <w:rFonts w:cstheme="minorHAnsi"/>
          <w:szCs w:val="16"/>
        </w:rPr>
        <w:t xml:space="preserve">Jiakun </w:t>
      </w:r>
      <w:r w:rsidR="005D4126" w:rsidRPr="00C63413">
        <w:rPr>
          <w:rFonts w:cstheme="minorHAnsi"/>
          <w:szCs w:val="16"/>
        </w:rPr>
        <w:t xml:space="preserve">Hosted </w:t>
      </w:r>
      <w:r w:rsidRPr="00C63413">
        <w:rPr>
          <w:rFonts w:cstheme="minorHAnsi"/>
          <w:szCs w:val="16"/>
        </w:rPr>
        <w:t xml:space="preserve">a </w:t>
      </w:r>
      <w:r w:rsidR="005D4126" w:rsidRPr="00C63413">
        <w:rPr>
          <w:rFonts w:cstheme="minorHAnsi"/>
          <w:szCs w:val="16"/>
        </w:rPr>
        <w:t>Regular Press Conference</w:t>
      </w:r>
      <w:r w:rsidRPr="00C63413">
        <w:rPr>
          <w:rFonts w:cstheme="minorHAnsi"/>
          <w:szCs w:val="16"/>
        </w:rPr>
        <w:t>],</w:t>
      </w:r>
      <w:r w:rsidRPr="00C63413">
        <w:rPr>
          <w:rFonts w:cstheme="minorHAnsi"/>
          <w:i/>
          <w:iCs/>
          <w:szCs w:val="16"/>
        </w:rPr>
        <w:t xml:space="preserve"> </w:t>
      </w:r>
      <w:r w:rsidRPr="00C63413">
        <w:rPr>
          <w:rFonts w:cstheme="minorHAnsi"/>
          <w:szCs w:val="16"/>
        </w:rPr>
        <w:t xml:space="preserve">March 11, 2026. </w:t>
      </w:r>
      <w:hyperlink r:id="rId8" w:history="1">
        <w:r w:rsidRPr="00C56988">
          <w:rPr>
            <w:rStyle w:val="Hyperlink"/>
            <w:rFonts w:cstheme="minorHAnsi"/>
            <w:szCs w:val="16"/>
          </w:rPr>
          <w:t>https://web.archive.org/web/20260312142511/https://www.mfa.gov.cn/web/wjdt_674879/fyrbt_674889/202603/t20260311_11872831.shtml</w:t>
        </w:r>
      </w:hyperlink>
      <w:r>
        <w:rPr>
          <w:rFonts w:cstheme="minorHAnsi"/>
          <w:i/>
          <w:iCs/>
          <w:szCs w:val="16"/>
        </w:rPr>
        <w:t>.</w:t>
      </w:r>
    </w:p>
  </w:endnote>
  <w:endnote w:id="8">
    <w:p w14:paraId="6BFCE7B7" w14:textId="3A402230" w:rsidR="00874A78" w:rsidRPr="00C63413" w:rsidRDefault="00874A78" w:rsidP="00021BBE">
      <w:pPr>
        <w:pStyle w:val="EndnoteText"/>
        <w:ind w:left="0" w:firstLine="0"/>
        <w:rPr>
          <w:rFonts w:cstheme="minorHAnsi"/>
          <w:szCs w:val="16"/>
          <w:lang w:eastAsia="zh-CN"/>
        </w:rPr>
      </w:pPr>
      <w:r w:rsidRPr="00C63413">
        <w:rPr>
          <w:rStyle w:val="EndnoteReference"/>
          <w:rFonts w:cstheme="minorHAnsi"/>
          <w:szCs w:val="16"/>
        </w:rPr>
        <w:endnoteRef/>
      </w:r>
      <w:r w:rsidRPr="00C63413">
        <w:rPr>
          <w:rFonts w:cstheme="minorHAnsi"/>
          <w:szCs w:val="16"/>
        </w:rPr>
        <w:t xml:space="preserve"> Saadet Gokce, “Mideast </w:t>
      </w:r>
      <w:r w:rsidR="00182DAA" w:rsidRPr="00C63413">
        <w:rPr>
          <w:rFonts w:cstheme="minorHAnsi"/>
          <w:szCs w:val="16"/>
        </w:rPr>
        <w:t>Tensions</w:t>
      </w:r>
      <w:r w:rsidRPr="00C63413">
        <w:rPr>
          <w:rFonts w:cstheme="minorHAnsi"/>
          <w:szCs w:val="16"/>
        </w:rPr>
        <w:t xml:space="preserve">: China </w:t>
      </w:r>
      <w:r w:rsidR="00182DAA" w:rsidRPr="00C63413">
        <w:rPr>
          <w:rFonts w:cstheme="minorHAnsi"/>
          <w:szCs w:val="16"/>
        </w:rPr>
        <w:t>Condemns Targeting Civilians</w:t>
      </w:r>
      <w:r w:rsidRPr="00C63413">
        <w:rPr>
          <w:rFonts w:cstheme="minorHAnsi"/>
          <w:szCs w:val="16"/>
        </w:rPr>
        <w:t xml:space="preserve">, </w:t>
      </w:r>
      <w:r w:rsidR="00182DAA" w:rsidRPr="00C63413">
        <w:rPr>
          <w:rFonts w:cstheme="minorHAnsi"/>
          <w:szCs w:val="16"/>
        </w:rPr>
        <w:t xml:space="preserve">Says 'Does Not Agree' </w:t>
      </w:r>
      <w:r w:rsidRPr="00C63413">
        <w:rPr>
          <w:rFonts w:cstheme="minorHAnsi"/>
          <w:szCs w:val="16"/>
        </w:rPr>
        <w:t xml:space="preserve">with </w:t>
      </w:r>
      <w:r w:rsidR="00182DAA" w:rsidRPr="00C63413">
        <w:rPr>
          <w:rFonts w:cstheme="minorHAnsi"/>
          <w:szCs w:val="16"/>
        </w:rPr>
        <w:t xml:space="preserve">Attacks </w:t>
      </w:r>
      <w:r w:rsidRPr="00C63413">
        <w:rPr>
          <w:rFonts w:cstheme="minorHAnsi"/>
          <w:szCs w:val="16"/>
        </w:rPr>
        <w:t xml:space="preserve">on Gulf </w:t>
      </w:r>
      <w:r w:rsidR="00182DAA" w:rsidRPr="00C63413">
        <w:rPr>
          <w:rFonts w:cstheme="minorHAnsi"/>
          <w:szCs w:val="16"/>
        </w:rPr>
        <w:t>Region</w:t>
      </w:r>
      <w:r w:rsidRPr="00C63413">
        <w:rPr>
          <w:rFonts w:cstheme="minorHAnsi"/>
          <w:szCs w:val="16"/>
        </w:rPr>
        <w:t xml:space="preserve">,” </w:t>
      </w:r>
      <w:r w:rsidRPr="00C63413">
        <w:rPr>
          <w:rFonts w:cstheme="minorHAnsi"/>
          <w:i/>
          <w:iCs/>
          <w:szCs w:val="16"/>
        </w:rPr>
        <w:t>Anadolu Agency</w:t>
      </w:r>
      <w:r w:rsidRPr="00C63413">
        <w:rPr>
          <w:rFonts w:cstheme="minorHAnsi"/>
          <w:szCs w:val="16"/>
        </w:rPr>
        <w:t xml:space="preserve">, March 11, 2026. </w:t>
      </w:r>
      <w:hyperlink r:id="rId9" w:history="1">
        <w:r w:rsidRPr="00C56988">
          <w:rPr>
            <w:rStyle w:val="Hyperlink"/>
            <w:rFonts w:cstheme="minorHAnsi"/>
            <w:i/>
            <w:iCs/>
            <w:szCs w:val="16"/>
          </w:rPr>
          <w:t>https://www.aa.com.tr/en/asia-pacific/mideast-tensions-china-condemns-targeting-civilians-says-does-not-agree-with-attacks-on-gulf-region/3859254</w:t>
        </w:r>
      </w:hyperlink>
      <w:r w:rsidRPr="00C63413">
        <w:rPr>
          <w:rFonts w:cstheme="minorHAnsi"/>
          <w:szCs w:val="16"/>
        </w:rPr>
        <w:t>; China’s Ministry of Foreign Affairs,</w:t>
      </w:r>
      <w:r w:rsidRPr="00AF5664">
        <w:rPr>
          <w:rFonts w:cstheme="minorHAnsi"/>
          <w:szCs w:val="16"/>
        </w:rPr>
        <w:t xml:space="preserve"> </w:t>
      </w:r>
      <w:r w:rsidRPr="00AF5664">
        <w:rPr>
          <w:rFonts w:cstheme="minorHAnsi" w:hint="eastAsia"/>
          <w:szCs w:val="16"/>
        </w:rPr>
        <w:t>王毅同伊朗外长阿拉格齐通电话</w:t>
      </w:r>
      <w:r w:rsidRPr="00C63413">
        <w:rPr>
          <w:rFonts w:cstheme="minorHAnsi"/>
          <w:szCs w:val="16"/>
        </w:rPr>
        <w:t xml:space="preserve"> [Wang Yi </w:t>
      </w:r>
      <w:r w:rsidR="00182DAA" w:rsidRPr="00C63413">
        <w:rPr>
          <w:rFonts w:cstheme="minorHAnsi"/>
          <w:szCs w:val="16"/>
        </w:rPr>
        <w:t xml:space="preserve">Spoke </w:t>
      </w:r>
      <w:r w:rsidRPr="00C63413">
        <w:rPr>
          <w:rFonts w:cstheme="minorHAnsi"/>
          <w:szCs w:val="16"/>
        </w:rPr>
        <w:t xml:space="preserve">by </w:t>
      </w:r>
      <w:r w:rsidR="00182DAA" w:rsidRPr="00C63413">
        <w:rPr>
          <w:rFonts w:cstheme="minorHAnsi"/>
          <w:szCs w:val="16"/>
        </w:rPr>
        <w:t xml:space="preserve">Phone </w:t>
      </w:r>
      <w:r w:rsidRPr="00C63413">
        <w:rPr>
          <w:rFonts w:cstheme="minorHAnsi"/>
          <w:szCs w:val="16"/>
        </w:rPr>
        <w:t xml:space="preserve">with Iranian Foreign Minister Araghchi], March 2, 2026. </w:t>
      </w:r>
      <w:hyperlink r:id="rId10" w:history="1">
        <w:r w:rsidRPr="00C56988">
          <w:rPr>
            <w:rStyle w:val="Hyperlink"/>
            <w:rFonts w:cstheme="minorHAnsi"/>
            <w:szCs w:val="16"/>
          </w:rPr>
          <w:t>https://web.archive.org/web/20260312144129/https://www.mfa.gov.cn/web/wjdt_674879/gjldrhd_674881/202603/t20260302_11867266.shtml</w:t>
        </w:r>
      </w:hyperlink>
      <w:r w:rsidRPr="00C56988">
        <w:rPr>
          <w:rFonts w:cstheme="minorHAnsi"/>
          <w:i/>
          <w:iCs/>
          <w:szCs w:val="16"/>
        </w:rPr>
        <w:t>.</w:t>
      </w:r>
      <w:r w:rsidRPr="00C63413">
        <w:rPr>
          <w:rFonts w:cstheme="minorHAnsi"/>
          <w:i/>
          <w:iCs/>
          <w:szCs w:val="16"/>
        </w:rPr>
        <w:t xml:space="preserve"> </w:t>
      </w:r>
      <w:r w:rsidRPr="00C56988">
        <w:rPr>
          <w:rFonts w:cstheme="minorHAnsi"/>
          <w:i/>
          <w:iCs/>
          <w:szCs w:val="16"/>
        </w:rPr>
        <w:t xml:space="preserve"> </w:t>
      </w:r>
    </w:p>
  </w:endnote>
  <w:endnote w:id="9">
    <w:p w14:paraId="6052482C" w14:textId="03C2B6AE" w:rsidR="00874A78" w:rsidRPr="00C63413" w:rsidRDefault="00874A78" w:rsidP="00021BBE">
      <w:pPr>
        <w:pStyle w:val="EndnoteText"/>
        <w:ind w:left="0" w:firstLine="0"/>
        <w:rPr>
          <w:rFonts w:cstheme="minorHAnsi"/>
          <w:szCs w:val="16"/>
        </w:rPr>
      </w:pPr>
      <w:r w:rsidRPr="00C63413">
        <w:rPr>
          <w:rStyle w:val="EndnoteReference"/>
          <w:rFonts w:cstheme="minorHAnsi"/>
          <w:szCs w:val="16"/>
        </w:rPr>
        <w:endnoteRef/>
      </w:r>
      <w:r w:rsidRPr="00C63413">
        <w:rPr>
          <w:rFonts w:cstheme="minorHAnsi"/>
          <w:szCs w:val="16"/>
        </w:rPr>
        <w:t xml:space="preserve"> Alexander Gabuev and Temur Umarov, “Why Are China and Russia Not Rushing to Help Iran?” </w:t>
      </w:r>
      <w:r w:rsidRPr="00C56988">
        <w:rPr>
          <w:rFonts w:cstheme="minorHAnsi"/>
          <w:i/>
          <w:iCs/>
          <w:szCs w:val="16"/>
        </w:rPr>
        <w:t>Carnegie Endowment for International Development</w:t>
      </w:r>
      <w:r w:rsidRPr="00C63413">
        <w:rPr>
          <w:rFonts w:cstheme="minorHAnsi"/>
          <w:szCs w:val="16"/>
        </w:rPr>
        <w:t>, March 10, 2026</w:t>
      </w:r>
      <w:r>
        <w:rPr>
          <w:rFonts w:cstheme="minorHAnsi"/>
          <w:szCs w:val="16"/>
        </w:rPr>
        <w:t>.</w:t>
      </w:r>
      <w:r w:rsidRPr="00C9174B">
        <w:t xml:space="preserve"> </w:t>
      </w:r>
      <w:r w:rsidRPr="00C56988">
        <w:rPr>
          <w:rFonts w:cstheme="minorHAnsi"/>
          <w:i/>
          <w:iCs/>
          <w:szCs w:val="16"/>
        </w:rPr>
        <w:t>https://carnegieendowment.org/russia-eurasia/politika/2026/03/china-russia-rescue-iran</w:t>
      </w:r>
      <w:r w:rsidRPr="00C63413">
        <w:rPr>
          <w:rFonts w:cstheme="minorHAnsi"/>
          <w:szCs w:val="16"/>
        </w:rPr>
        <w:t xml:space="preserve">; Alyssa Chen, “What’s </w:t>
      </w:r>
      <w:r w:rsidR="00182DAA">
        <w:rPr>
          <w:rFonts w:cstheme="minorHAnsi"/>
          <w:szCs w:val="16"/>
        </w:rPr>
        <w:t>b</w:t>
      </w:r>
      <w:r w:rsidRPr="00C63413">
        <w:rPr>
          <w:rFonts w:cstheme="minorHAnsi"/>
          <w:szCs w:val="16"/>
        </w:rPr>
        <w:t xml:space="preserve">ehind China’s Careful Response on Iran </w:t>
      </w:r>
      <w:r w:rsidR="00182DAA">
        <w:rPr>
          <w:rFonts w:cstheme="minorHAnsi"/>
          <w:szCs w:val="16"/>
        </w:rPr>
        <w:t>a</w:t>
      </w:r>
      <w:r w:rsidRPr="00C63413">
        <w:rPr>
          <w:rFonts w:cstheme="minorHAnsi"/>
          <w:szCs w:val="16"/>
        </w:rPr>
        <w:t xml:space="preserve">fter US-Israel </w:t>
      </w:r>
      <w:r w:rsidR="00182DAA">
        <w:rPr>
          <w:rFonts w:cstheme="minorHAnsi"/>
          <w:szCs w:val="16"/>
        </w:rPr>
        <w:t>S</w:t>
      </w:r>
      <w:r w:rsidRPr="00C63413">
        <w:rPr>
          <w:rFonts w:cstheme="minorHAnsi"/>
          <w:szCs w:val="16"/>
        </w:rPr>
        <w:t xml:space="preserve">trikes?” </w:t>
      </w:r>
      <w:r w:rsidRPr="00C63413">
        <w:rPr>
          <w:rFonts w:cstheme="minorHAnsi"/>
          <w:i/>
          <w:iCs/>
          <w:szCs w:val="16"/>
        </w:rPr>
        <w:t>South China Morning Post</w:t>
      </w:r>
      <w:r w:rsidRPr="00C63413">
        <w:rPr>
          <w:rFonts w:cstheme="minorHAnsi"/>
          <w:szCs w:val="16"/>
        </w:rPr>
        <w:t xml:space="preserve">, March 3, 2026. </w:t>
      </w:r>
      <w:r w:rsidRPr="00C56988">
        <w:rPr>
          <w:rFonts w:cstheme="minorHAnsi"/>
          <w:i/>
          <w:iCs/>
          <w:szCs w:val="16"/>
        </w:rPr>
        <w:t>https://www.scmp.com/news/china/diplomacy/article/3345253/whats-behind-chinas-careful-response-its-ally-iran-after-us-israel-strikes</w:t>
      </w:r>
      <w:r w:rsidRPr="00C63413">
        <w:rPr>
          <w:rFonts w:cstheme="minorHAnsi"/>
          <w:szCs w:val="16"/>
        </w:rPr>
        <w:t>.</w:t>
      </w:r>
    </w:p>
  </w:endnote>
  <w:endnote w:id="10">
    <w:p w14:paraId="4FA7A104" w14:textId="5D8FEA7F" w:rsidR="00874A78" w:rsidRDefault="00874A78" w:rsidP="00021BBE">
      <w:pPr>
        <w:pStyle w:val="EndnoteText"/>
        <w:ind w:left="0" w:firstLine="0"/>
      </w:pPr>
      <w:r w:rsidRPr="7451F98B">
        <w:rPr>
          <w:rStyle w:val="EndnoteReference"/>
        </w:rPr>
        <w:endnoteRef/>
      </w:r>
      <w:r>
        <w:t xml:space="preserve"> U.S Institute for Peace, ”Iran &amp; China: Military Ties,” </w:t>
      </w:r>
      <w:r w:rsidRPr="7451F98B">
        <w:rPr>
          <w:i/>
          <w:iCs/>
        </w:rPr>
        <w:t>Iran Primer</w:t>
      </w:r>
      <w:r w:rsidRPr="7451F98B">
        <w:t xml:space="preserve">, June 28, 2023. </w:t>
      </w:r>
      <w:hyperlink r:id="rId11" w:history="1">
        <w:r w:rsidRPr="7451F98B">
          <w:rPr>
            <w:rStyle w:val="Hyperlink"/>
          </w:rPr>
          <w:t>https://iranprimer.usip.org/blog/2023/jun/28/iran-china-military-ties</w:t>
        </w:r>
      </w:hyperlink>
      <w:r>
        <w:t xml:space="preserve">; U.S.-China Economic and Security Review Commission, “Axis of Autocracy: China’s Revisionist Ambitions with Russia, Iran, and North Korea,” </w:t>
      </w:r>
      <w:r w:rsidRPr="7451F98B">
        <w:rPr>
          <w:i/>
          <w:iCs/>
        </w:rPr>
        <w:t>2025 Annual Report to Congress</w:t>
      </w:r>
      <w:r w:rsidRPr="7451F98B">
        <w:t xml:space="preserve">, November 2025, 172. </w:t>
      </w:r>
      <w:hyperlink r:id="rId12" w:history="1">
        <w:r w:rsidRPr="7451F98B">
          <w:rPr>
            <w:rStyle w:val="Hyperlink"/>
          </w:rPr>
          <w:t>https://www.uscc.gov/sites/default/files/2025-11/2025_Annual_Report_to_Congress.pdf</w:t>
        </w:r>
      </w:hyperlink>
      <w:r w:rsidR="00182DAA">
        <w:t>.</w:t>
      </w:r>
    </w:p>
  </w:endnote>
  <w:endnote w:id="11">
    <w:p w14:paraId="13FA748C" w14:textId="51D75731" w:rsidR="00F4281A" w:rsidRDefault="00F4281A" w:rsidP="00021BBE">
      <w:pPr>
        <w:pStyle w:val="EndnoteText"/>
        <w:ind w:left="0" w:firstLine="0"/>
      </w:pPr>
      <w:r>
        <w:rPr>
          <w:rStyle w:val="EndnoteReference"/>
        </w:rPr>
        <w:endnoteRef/>
      </w:r>
      <w:r>
        <w:t xml:space="preserve"> </w:t>
      </w:r>
      <w:r w:rsidRPr="00F4281A">
        <w:t xml:space="preserve">U.S.-China Economic and Security Review Commission, “Axis of Autocracy: China’s Revisionist Ambitions with Russia, Iran, and North Korea,” in </w:t>
      </w:r>
      <w:r w:rsidRPr="00F4281A">
        <w:rPr>
          <w:i/>
          <w:iCs/>
        </w:rPr>
        <w:t>2025 Annual Report to Congress</w:t>
      </w:r>
      <w:r w:rsidRPr="00F4281A">
        <w:t xml:space="preserve">, November 2025, 172. </w:t>
      </w:r>
      <w:hyperlink r:id="rId13" w:history="1">
        <w:r w:rsidRPr="00F4281A">
          <w:rPr>
            <w:rStyle w:val="Hyperlink"/>
          </w:rPr>
          <w:t>https://www.uscc.gov/sites/default/files/2025-11/2025_Annual_Report_to_Congress.pdf</w:t>
        </w:r>
      </w:hyperlink>
      <w:r w:rsidRPr="00F4281A">
        <w:t>.</w:t>
      </w:r>
    </w:p>
  </w:endnote>
  <w:endnote w:id="12">
    <w:p w14:paraId="6CD8F8E8" w14:textId="7523E53F" w:rsidR="00874A78" w:rsidRDefault="00874A78" w:rsidP="00021BBE">
      <w:pPr>
        <w:pStyle w:val="EndnoteText"/>
        <w:ind w:left="0" w:firstLine="0"/>
      </w:pPr>
      <w:r w:rsidRPr="7451F98B">
        <w:rPr>
          <w:rStyle w:val="EndnoteReference"/>
        </w:rPr>
        <w:endnoteRef/>
      </w:r>
      <w:r>
        <w:t xml:space="preserve"> U.S.-China Economic and Security Review Commission, “Axis of Autocracy: China’s Revisionist Ambitions with Russia, Iran, and North Korea,” in </w:t>
      </w:r>
      <w:r w:rsidRPr="7451F98B">
        <w:rPr>
          <w:i/>
          <w:iCs/>
        </w:rPr>
        <w:t>2025 Annual Report to Congress</w:t>
      </w:r>
      <w:r w:rsidRPr="7451F98B">
        <w:t xml:space="preserve">, November 2025, 172. </w:t>
      </w:r>
      <w:hyperlink r:id="rId14" w:history="1">
        <w:r w:rsidRPr="7451F98B">
          <w:rPr>
            <w:rStyle w:val="Hyperlink"/>
          </w:rPr>
          <w:t>https://www.uscc.gov/sites/default/files/2025-11/2025_Annual_Report_to_Congress.pdf</w:t>
        </w:r>
      </w:hyperlink>
      <w:r>
        <w:t xml:space="preserve">; </w:t>
      </w:r>
      <w:r w:rsidRPr="00017B8D">
        <w:t xml:space="preserve">Graham Ayres and Lyndi Tsering, “China’s Facilitation of Sanctions and Export Control Evasion,” </w:t>
      </w:r>
      <w:r w:rsidRPr="00C56988">
        <w:rPr>
          <w:i/>
          <w:iCs/>
        </w:rPr>
        <w:t>U.S.-China Economic and Security Review Commission</w:t>
      </w:r>
      <w:r w:rsidRPr="00017B8D">
        <w:t xml:space="preserve">, November 14, 2025. </w:t>
      </w:r>
      <w:hyperlink r:id="rId15" w:history="1">
        <w:r w:rsidRPr="00017B8D">
          <w:rPr>
            <w:rStyle w:val="Hyperlink"/>
          </w:rPr>
          <w:t>https://www.uscc.gov/research/chinas-facilitation-sanctions-and-export-control-evasion</w:t>
        </w:r>
      </w:hyperlink>
      <w:r w:rsidRPr="00017B8D">
        <w:t>; “Seven Sons and Mullahs: Chinese-Iranian Defense-Linked Academic Collaboration</w:t>
      </w:r>
      <w:r w:rsidRPr="00C56988">
        <w:rPr>
          <w:i/>
          <w:iCs/>
        </w:rPr>
        <w:t>,” Institute for National Security Studies</w:t>
      </w:r>
      <w:r w:rsidRPr="00017B8D">
        <w:t xml:space="preserve">, November 10, 2025. </w:t>
      </w:r>
      <w:hyperlink r:id="rId16" w:history="1">
        <w:r w:rsidRPr="00017B8D">
          <w:rPr>
            <w:rStyle w:val="Hyperlink"/>
          </w:rPr>
          <w:t>https://www.inss.org.il/publication/seven-sons-and-mullahs/</w:t>
        </w:r>
      </w:hyperlink>
      <w:r>
        <w:t>.</w:t>
      </w:r>
    </w:p>
  </w:endnote>
  <w:endnote w:id="13">
    <w:p w14:paraId="5AD1D00B" w14:textId="7D1E9D4A" w:rsidR="00874A78" w:rsidRPr="009567ED" w:rsidRDefault="00874A78" w:rsidP="00021BBE">
      <w:pPr>
        <w:pStyle w:val="EndnoteText"/>
        <w:ind w:left="0" w:firstLine="0"/>
      </w:pPr>
      <w:r>
        <w:rPr>
          <w:rStyle w:val="EndnoteReference"/>
        </w:rPr>
        <w:endnoteRef/>
      </w:r>
      <w:r>
        <w:t xml:space="preserve"> Sean Matthews, “China </w:t>
      </w:r>
      <w:r w:rsidR="00B32541">
        <w:t xml:space="preserve">Has Sent Attack Drones </w:t>
      </w:r>
      <w:r>
        <w:t xml:space="preserve">to Iran, as </w:t>
      </w:r>
      <w:r w:rsidR="00B32541">
        <w:t>It Discusses Ballistic Missile Sales</w:t>
      </w:r>
      <w:r>
        <w:t xml:space="preserve">,” </w:t>
      </w:r>
      <w:r>
        <w:rPr>
          <w:i/>
          <w:iCs/>
        </w:rPr>
        <w:t>Middle East Eye</w:t>
      </w:r>
      <w:r>
        <w:t xml:space="preserve">, February 27, 2026. </w:t>
      </w:r>
      <w:hyperlink r:id="rId17" w:history="1">
        <w:r w:rsidRPr="00287053">
          <w:rPr>
            <w:rStyle w:val="Hyperlink"/>
          </w:rPr>
          <w:t>https://www.middleeasteye.net/news/china-has-sent-attack-drones-iran-it-discusses-ballistic-missile-sales</w:t>
        </w:r>
      </w:hyperlink>
      <w:r>
        <w:t xml:space="preserve">; John Irish, Parisa Hafezi, and Gavin Finch, “Exclusive: Iran </w:t>
      </w:r>
      <w:r w:rsidR="00B32541">
        <w:t xml:space="preserve">Nears Deal </w:t>
      </w:r>
      <w:r>
        <w:t xml:space="preserve">to </w:t>
      </w:r>
      <w:r w:rsidR="00B32541">
        <w:t xml:space="preserve">Buy Supersonic Anti-Ship Missiles </w:t>
      </w:r>
      <w:r>
        <w:t xml:space="preserve">from China,” </w:t>
      </w:r>
      <w:r>
        <w:rPr>
          <w:i/>
          <w:iCs/>
        </w:rPr>
        <w:t>Reuters</w:t>
      </w:r>
      <w:r>
        <w:t xml:space="preserve">, February 24, 2026. </w:t>
      </w:r>
      <w:hyperlink r:id="rId18" w:history="1">
        <w:r w:rsidRPr="00287053">
          <w:rPr>
            <w:rStyle w:val="Hyperlink"/>
          </w:rPr>
          <w:t>https://www.reuters.com/world/china/iran-nears-deal-buy-supersonic-anti-ship-missiles-china-2026-02-24/</w:t>
        </w:r>
      </w:hyperlink>
      <w:r>
        <w:t xml:space="preserve">. </w:t>
      </w:r>
    </w:p>
  </w:endnote>
  <w:endnote w:id="14">
    <w:p w14:paraId="3E272843" w14:textId="77777777" w:rsidR="00874A78" w:rsidRDefault="00874A78" w:rsidP="00021BBE">
      <w:pPr>
        <w:pStyle w:val="EndnoteText"/>
        <w:ind w:left="0" w:firstLine="0"/>
      </w:pPr>
      <w:r>
        <w:rPr>
          <w:rStyle w:val="EndnoteReference"/>
        </w:rPr>
        <w:endnoteRef/>
      </w:r>
      <w:r>
        <w:t xml:space="preserve"> Joyce Sohyun Lee and Meg Kelly, “Laden Iranian Ships Depart Chinese Port Tied to Key Military Chemicals,” </w:t>
      </w:r>
      <w:r>
        <w:rPr>
          <w:i/>
          <w:iCs/>
        </w:rPr>
        <w:t>Washington Post</w:t>
      </w:r>
      <w:r>
        <w:t xml:space="preserve">, March 7, 2026. </w:t>
      </w:r>
      <w:hyperlink r:id="rId19" w:history="1">
        <w:r>
          <w:rPr>
            <w:rStyle w:val="Hyperlink"/>
          </w:rPr>
          <w:t>https://www.washingtonpost.com/investigations/2026/03/07/laden-iranian-ships-depart-chinese-port-tied-key-military-chemicals/</w:t>
        </w:r>
      </w:hyperlink>
      <w:r>
        <w:t>.</w:t>
      </w:r>
    </w:p>
  </w:endnote>
  <w:endnote w:id="15">
    <w:p w14:paraId="7F406C40" w14:textId="011E32E1" w:rsidR="00874A78" w:rsidRDefault="00874A78" w:rsidP="00021BBE">
      <w:pPr>
        <w:pStyle w:val="EndnoteText"/>
        <w:ind w:left="0" w:firstLine="0"/>
      </w:pPr>
      <w:r>
        <w:rPr>
          <w:rStyle w:val="EndnoteReference"/>
        </w:rPr>
        <w:endnoteRef/>
      </w:r>
      <w:r>
        <w:t xml:space="preserve"> Laurence Norman and Benoit Faucon, </w:t>
      </w:r>
      <w:r w:rsidR="00F52808">
        <w:t>“</w:t>
      </w:r>
      <w:r>
        <w:t xml:space="preserve">China Is Helping Supply Chemicals for Iran’s Ballistic-Missile Program,” </w:t>
      </w:r>
      <w:r>
        <w:rPr>
          <w:i/>
          <w:iCs/>
        </w:rPr>
        <w:t>Wall Street Journal</w:t>
      </w:r>
      <w:r>
        <w:t xml:space="preserve">, January 23, 2025. </w:t>
      </w:r>
      <w:hyperlink r:id="rId20" w:history="1">
        <w:r w:rsidRPr="00011F10">
          <w:rPr>
            <w:rStyle w:val="Hyperlink"/>
          </w:rPr>
          <w:t>https://www.wsj.com/world/middle-east/china-is-helping-supply-chemicals-for-irans-ballistic-missile-program-ab272ad7</w:t>
        </w:r>
      </w:hyperlink>
      <w:r>
        <w:t xml:space="preserve">. </w:t>
      </w:r>
    </w:p>
  </w:endnote>
  <w:endnote w:id="16">
    <w:p w14:paraId="6585D240" w14:textId="2DC08E6C" w:rsidR="00874A78" w:rsidRPr="003603D1" w:rsidRDefault="00874A78" w:rsidP="00021BBE">
      <w:pPr>
        <w:pStyle w:val="EndnoteText"/>
        <w:ind w:left="0" w:firstLine="0"/>
        <w:rPr>
          <w:szCs w:val="16"/>
        </w:rPr>
      </w:pPr>
      <w:r w:rsidRPr="003603D1">
        <w:rPr>
          <w:rStyle w:val="EndnoteReference"/>
          <w:szCs w:val="16"/>
        </w:rPr>
        <w:endnoteRef/>
      </w:r>
      <w:r w:rsidRPr="003603D1">
        <w:rPr>
          <w:szCs w:val="16"/>
        </w:rPr>
        <w:t xml:space="preserve"> Jemima Baar, written testimony for U.S.-China Economic and Security Review Commission, </w:t>
      </w:r>
      <w:r w:rsidRPr="00C56988">
        <w:rPr>
          <w:i/>
          <w:iCs/>
          <w:szCs w:val="16"/>
        </w:rPr>
        <w:t xml:space="preserve">Hearing on An Axis of Autocracy? China’s Relations </w:t>
      </w:r>
      <w:r w:rsidR="00F52808" w:rsidRPr="00F52808">
        <w:rPr>
          <w:i/>
          <w:iCs/>
          <w:szCs w:val="16"/>
        </w:rPr>
        <w:t xml:space="preserve">with </w:t>
      </w:r>
      <w:r w:rsidRPr="00C56988">
        <w:rPr>
          <w:i/>
          <w:iCs/>
          <w:szCs w:val="16"/>
        </w:rPr>
        <w:t>Russia, Iran, and North Korea</w:t>
      </w:r>
      <w:r w:rsidRPr="003603D1">
        <w:rPr>
          <w:szCs w:val="16"/>
        </w:rPr>
        <w:t xml:space="preserve">, February 20, 2025, 5. </w:t>
      </w:r>
      <w:r w:rsidRPr="00C56988">
        <w:rPr>
          <w:i/>
          <w:iCs/>
          <w:szCs w:val="16"/>
        </w:rPr>
        <w:t>https://www.uscc.gov/sites/default/files/2025-02/Jemima_Baar_Testimony.pdf</w:t>
      </w:r>
      <w:r w:rsidRPr="003603D1">
        <w:rPr>
          <w:szCs w:val="16"/>
        </w:rPr>
        <w:t>.</w:t>
      </w:r>
    </w:p>
  </w:endnote>
  <w:endnote w:id="17">
    <w:p w14:paraId="59DFDCF5" w14:textId="565BE3B6" w:rsidR="00874A78" w:rsidRPr="00C56988" w:rsidRDefault="00874A78" w:rsidP="00021BBE">
      <w:pPr>
        <w:pStyle w:val="EndnoteText"/>
        <w:ind w:left="0" w:firstLine="0"/>
        <w:rPr>
          <w:b/>
          <w:bCs/>
          <w:szCs w:val="16"/>
        </w:rPr>
      </w:pPr>
      <w:r w:rsidRPr="003603D1">
        <w:rPr>
          <w:rStyle w:val="EndnoteReference"/>
          <w:szCs w:val="16"/>
        </w:rPr>
        <w:endnoteRef/>
      </w:r>
      <w:r w:rsidRPr="003603D1">
        <w:rPr>
          <w:szCs w:val="16"/>
        </w:rPr>
        <w:t xml:space="preserve"> </w:t>
      </w:r>
      <w:r>
        <w:rPr>
          <w:szCs w:val="16"/>
        </w:rPr>
        <w:t xml:space="preserve"> </w:t>
      </w:r>
      <w:r w:rsidRPr="00CA7B10">
        <w:rPr>
          <w:szCs w:val="16"/>
        </w:rPr>
        <w:t>Nina Montagu-Smith, “</w:t>
      </w:r>
      <w:r w:rsidRPr="00C56988">
        <w:rPr>
          <w:szCs w:val="16"/>
        </w:rPr>
        <w:t xml:space="preserve">Could Iran </w:t>
      </w:r>
      <w:r w:rsidR="00490F5D">
        <w:rPr>
          <w:szCs w:val="16"/>
        </w:rPr>
        <w:t>B</w:t>
      </w:r>
      <w:r w:rsidR="00490F5D" w:rsidRPr="00490F5D">
        <w:rPr>
          <w:szCs w:val="16"/>
        </w:rPr>
        <w:t xml:space="preserve">e </w:t>
      </w:r>
      <w:r>
        <w:rPr>
          <w:szCs w:val="16"/>
        </w:rPr>
        <w:t>U</w:t>
      </w:r>
      <w:r w:rsidRPr="00C56988">
        <w:rPr>
          <w:szCs w:val="16"/>
        </w:rPr>
        <w:t xml:space="preserve">sing China’s </w:t>
      </w:r>
      <w:r>
        <w:rPr>
          <w:szCs w:val="16"/>
        </w:rPr>
        <w:t>H</w:t>
      </w:r>
      <w:r w:rsidRPr="00C56988">
        <w:rPr>
          <w:szCs w:val="16"/>
        </w:rPr>
        <w:t xml:space="preserve">ighly </w:t>
      </w:r>
      <w:r>
        <w:rPr>
          <w:szCs w:val="16"/>
        </w:rPr>
        <w:t>A</w:t>
      </w:r>
      <w:r w:rsidRPr="00C56988">
        <w:rPr>
          <w:szCs w:val="16"/>
        </w:rPr>
        <w:t xml:space="preserve">ccurate BeiDou </w:t>
      </w:r>
      <w:r>
        <w:rPr>
          <w:szCs w:val="16"/>
        </w:rPr>
        <w:t>N</w:t>
      </w:r>
      <w:r w:rsidRPr="00C56988">
        <w:rPr>
          <w:szCs w:val="16"/>
        </w:rPr>
        <w:t xml:space="preserve">avigation </w:t>
      </w:r>
      <w:r>
        <w:rPr>
          <w:szCs w:val="16"/>
        </w:rPr>
        <w:t>S</w:t>
      </w:r>
      <w:r w:rsidRPr="00C56988">
        <w:rPr>
          <w:szCs w:val="16"/>
        </w:rPr>
        <w:t xml:space="preserve">ystem?” </w:t>
      </w:r>
      <w:r w:rsidRPr="00C56988">
        <w:rPr>
          <w:i/>
          <w:iCs/>
          <w:szCs w:val="16"/>
        </w:rPr>
        <w:t>Al Jazeera,</w:t>
      </w:r>
      <w:r w:rsidRPr="00C56988">
        <w:rPr>
          <w:szCs w:val="16"/>
        </w:rPr>
        <w:t xml:space="preserve"> March 11, 2026.</w:t>
      </w:r>
      <w:r>
        <w:rPr>
          <w:b/>
          <w:bCs/>
          <w:szCs w:val="16"/>
        </w:rPr>
        <w:t xml:space="preserve"> </w:t>
      </w:r>
      <w:hyperlink r:id="rId21" w:history="1">
        <w:r w:rsidRPr="00C56988">
          <w:rPr>
            <w:rStyle w:val="Hyperlink"/>
            <w:szCs w:val="16"/>
          </w:rPr>
          <w:t>https://www.aljazeera.com/features/2026/3/11/could-iran-be-using-chinas-highly-accurate-beidou-navigation-system</w:t>
        </w:r>
      </w:hyperlink>
      <w:r w:rsidRPr="00C56988">
        <w:rPr>
          <w:szCs w:val="16"/>
        </w:rPr>
        <w:t>;</w:t>
      </w:r>
      <w:r>
        <w:rPr>
          <w:b/>
          <w:bCs/>
          <w:szCs w:val="16"/>
        </w:rPr>
        <w:t xml:space="preserve"> </w:t>
      </w:r>
      <w:r w:rsidRPr="003603D1">
        <w:rPr>
          <w:szCs w:val="16"/>
        </w:rPr>
        <w:t xml:space="preserve">Jemima Baar, written testimony for U.S.-China Economic and Security Review Commission, </w:t>
      </w:r>
      <w:r w:rsidRPr="00C56988">
        <w:rPr>
          <w:i/>
          <w:iCs/>
          <w:szCs w:val="16"/>
        </w:rPr>
        <w:t xml:space="preserve">Hearing on An Axis of Autocracy? China’s Relations </w:t>
      </w:r>
      <w:r w:rsidR="00490F5D" w:rsidRPr="00490F5D">
        <w:rPr>
          <w:i/>
          <w:iCs/>
          <w:szCs w:val="16"/>
        </w:rPr>
        <w:t xml:space="preserve">with </w:t>
      </w:r>
      <w:r w:rsidRPr="00C56988">
        <w:rPr>
          <w:i/>
          <w:iCs/>
          <w:szCs w:val="16"/>
        </w:rPr>
        <w:t>Russia, Iran, and North Korea</w:t>
      </w:r>
      <w:r w:rsidRPr="003603D1">
        <w:rPr>
          <w:szCs w:val="16"/>
        </w:rPr>
        <w:t xml:space="preserve">, February 20, 2025, 5. </w:t>
      </w:r>
      <w:r w:rsidRPr="00C56988">
        <w:rPr>
          <w:i/>
          <w:iCs/>
          <w:szCs w:val="16"/>
        </w:rPr>
        <w:t>https://www.uscc.gov/sites/default/files/2025-02/Jemima_Baar_Testimony.pdf</w:t>
      </w:r>
      <w:r w:rsidRPr="003603D1">
        <w:rPr>
          <w:szCs w:val="16"/>
        </w:rPr>
        <w:t>.</w:t>
      </w:r>
    </w:p>
  </w:endnote>
  <w:endnote w:id="18">
    <w:p w14:paraId="18556821" w14:textId="1137A62A" w:rsidR="00095C68" w:rsidRDefault="00095C68" w:rsidP="001077B0">
      <w:pPr>
        <w:pStyle w:val="EndnoteText"/>
      </w:pPr>
      <w:r>
        <w:rPr>
          <w:rStyle w:val="EndnoteReference"/>
        </w:rPr>
        <w:endnoteRef/>
      </w:r>
      <w:r>
        <w:t xml:space="preserve"> Nina Montagu-Smith, </w:t>
      </w:r>
      <w:r w:rsidRPr="00CA7B10">
        <w:rPr>
          <w:szCs w:val="16"/>
        </w:rPr>
        <w:t>“</w:t>
      </w:r>
      <w:r w:rsidRPr="00C52C46">
        <w:rPr>
          <w:szCs w:val="16"/>
        </w:rPr>
        <w:t xml:space="preserve">Could Iran </w:t>
      </w:r>
      <w:r>
        <w:rPr>
          <w:szCs w:val="16"/>
        </w:rPr>
        <w:t>b</w:t>
      </w:r>
      <w:r w:rsidRPr="00C52C46">
        <w:rPr>
          <w:szCs w:val="16"/>
        </w:rPr>
        <w:t xml:space="preserve">e </w:t>
      </w:r>
      <w:r>
        <w:rPr>
          <w:szCs w:val="16"/>
        </w:rPr>
        <w:t>U</w:t>
      </w:r>
      <w:r w:rsidRPr="00C52C46">
        <w:rPr>
          <w:szCs w:val="16"/>
        </w:rPr>
        <w:t xml:space="preserve">sing China’s </w:t>
      </w:r>
      <w:r>
        <w:rPr>
          <w:szCs w:val="16"/>
        </w:rPr>
        <w:t>H</w:t>
      </w:r>
      <w:r w:rsidRPr="00C52C46">
        <w:rPr>
          <w:szCs w:val="16"/>
        </w:rPr>
        <w:t xml:space="preserve">ighly </w:t>
      </w:r>
      <w:r>
        <w:rPr>
          <w:szCs w:val="16"/>
        </w:rPr>
        <w:t>A</w:t>
      </w:r>
      <w:r w:rsidRPr="00C52C46">
        <w:rPr>
          <w:szCs w:val="16"/>
        </w:rPr>
        <w:t xml:space="preserve">ccurate BeiDou </w:t>
      </w:r>
      <w:r>
        <w:rPr>
          <w:szCs w:val="16"/>
        </w:rPr>
        <w:t>N</w:t>
      </w:r>
      <w:r w:rsidRPr="00C52C46">
        <w:rPr>
          <w:szCs w:val="16"/>
        </w:rPr>
        <w:t xml:space="preserve">avigation </w:t>
      </w:r>
      <w:r>
        <w:rPr>
          <w:szCs w:val="16"/>
        </w:rPr>
        <w:t>S</w:t>
      </w:r>
      <w:r w:rsidRPr="00C52C46">
        <w:rPr>
          <w:szCs w:val="16"/>
        </w:rPr>
        <w:t xml:space="preserve">ystem?” </w:t>
      </w:r>
      <w:r w:rsidRPr="00C52C46">
        <w:rPr>
          <w:i/>
          <w:iCs/>
          <w:szCs w:val="16"/>
        </w:rPr>
        <w:t>Al Jazeera,</w:t>
      </w:r>
      <w:r w:rsidRPr="00C52C46">
        <w:rPr>
          <w:szCs w:val="16"/>
        </w:rPr>
        <w:t xml:space="preserve"> March 11, 2026.</w:t>
      </w:r>
      <w:r w:rsidR="00894D6B">
        <w:rPr>
          <w:b/>
          <w:bCs/>
          <w:szCs w:val="16"/>
        </w:rPr>
        <w:t xml:space="preserve"> </w:t>
      </w:r>
      <w:hyperlink r:id="rId22" w:history="1">
        <w:r w:rsidR="00894D6B" w:rsidRPr="00894D6B">
          <w:rPr>
            <w:rStyle w:val="Hyperlink"/>
            <w:szCs w:val="16"/>
          </w:rPr>
          <w:t>https://www.aljazeera.com/features/2026/3/11/could-iran-be-using-chinas-highly-accurate-beidou-navigation-system</w:t>
        </w:r>
      </w:hyperlink>
      <w:r>
        <w:rPr>
          <w:szCs w:val="16"/>
        </w:rPr>
        <w:t>.</w:t>
      </w:r>
    </w:p>
  </w:endnote>
  <w:endnote w:id="19">
    <w:p w14:paraId="7C2C7892" w14:textId="5D0B28D6" w:rsidR="00874A78" w:rsidRPr="00EF57F2" w:rsidRDefault="00874A78" w:rsidP="00021BBE">
      <w:pPr>
        <w:pStyle w:val="EndnoteText"/>
        <w:ind w:left="0" w:firstLine="0"/>
      </w:pPr>
      <w:r>
        <w:rPr>
          <w:rStyle w:val="EndnoteReference"/>
        </w:rPr>
        <w:endnoteRef/>
      </w:r>
      <w:r>
        <w:t xml:space="preserve"> </w:t>
      </w:r>
      <w:r w:rsidRPr="00EF57F2">
        <w:t xml:space="preserve">Center for the Study of Chinese Military Affairs, </w:t>
      </w:r>
      <w:r>
        <w:t>“</w:t>
      </w:r>
      <w:r w:rsidRPr="00EF57F2">
        <w:t xml:space="preserve">Chinese Military Diplomacy Database </w:t>
      </w:r>
      <w:r w:rsidR="006570CE">
        <w:t>V</w:t>
      </w:r>
      <w:r w:rsidRPr="00EF57F2">
        <w:t>ersion 5.00</w:t>
      </w:r>
      <w:r w:rsidR="006570CE">
        <w:t>,</w:t>
      </w:r>
      <w:r>
        <w:t xml:space="preserve">” </w:t>
      </w:r>
      <w:r w:rsidRPr="00C56988">
        <w:rPr>
          <w:i/>
          <w:iCs/>
        </w:rPr>
        <w:t>U.S. National Defense University</w:t>
      </w:r>
      <w:r>
        <w:t>,</w:t>
      </w:r>
      <w:r w:rsidRPr="00EF57F2">
        <w:t xml:space="preserve"> April 21, 2025</w:t>
      </w:r>
      <w:r>
        <w:t xml:space="preserve">; “China, Iran </w:t>
      </w:r>
      <w:r w:rsidR="006570CE">
        <w:t xml:space="preserve">Agree </w:t>
      </w:r>
      <w:r>
        <w:t xml:space="preserve">to Push Military Ties to Higher Level,” </w:t>
      </w:r>
      <w:r w:rsidR="00490F5D">
        <w:rPr>
          <w:i/>
          <w:iCs/>
        </w:rPr>
        <w:t>CGTN</w:t>
      </w:r>
      <w:r w:rsidR="00490F5D">
        <w:t xml:space="preserve">, </w:t>
      </w:r>
      <w:r>
        <w:t xml:space="preserve">April 28, 2022. </w:t>
      </w:r>
      <w:hyperlink r:id="rId23" w:history="1">
        <w:r w:rsidRPr="00011F10">
          <w:rPr>
            <w:rStyle w:val="Hyperlink"/>
          </w:rPr>
          <w:t>https://web.archive.org/web/20260310162753/https://news.cgtn.com/news/2022-04-28/China-Iran-agree-to-push-military-ties-to-higher-level-19AEBvT2swg/index.html</w:t>
        </w:r>
      </w:hyperlink>
      <w:r>
        <w:t xml:space="preserve"> </w:t>
      </w:r>
    </w:p>
  </w:endnote>
  <w:endnote w:id="20">
    <w:p w14:paraId="511A6383" w14:textId="4C9A48F1" w:rsidR="00874A78" w:rsidRPr="005576EC" w:rsidRDefault="00874A78" w:rsidP="00021BBE">
      <w:pPr>
        <w:pStyle w:val="EndnoteText"/>
        <w:ind w:left="0" w:firstLine="0"/>
      </w:pPr>
      <w:r>
        <w:rPr>
          <w:rStyle w:val="EndnoteReference"/>
        </w:rPr>
        <w:endnoteRef/>
      </w:r>
      <w:r>
        <w:t xml:space="preserve"> Joseph Webster, “</w:t>
      </w:r>
      <w:r w:rsidRPr="005A0394">
        <w:t xml:space="preserve">PLAN </w:t>
      </w:r>
      <w:r>
        <w:t>S</w:t>
      </w:r>
      <w:r w:rsidRPr="005A0394">
        <w:t xml:space="preserve">kips or </w:t>
      </w:r>
      <w:r>
        <w:t>D</w:t>
      </w:r>
      <w:r w:rsidRPr="005A0394">
        <w:t xml:space="preserve">ownplays </w:t>
      </w:r>
      <w:r>
        <w:t>N</w:t>
      </w:r>
      <w:r w:rsidRPr="005A0394">
        <w:t xml:space="preserve">aval </w:t>
      </w:r>
      <w:r>
        <w:t>E</w:t>
      </w:r>
      <w:r w:rsidRPr="005A0394">
        <w:t xml:space="preserve">xercises with Iran and Russia </w:t>
      </w:r>
      <w:r w:rsidR="002315A2">
        <w:t>a</w:t>
      </w:r>
      <w:r w:rsidR="002315A2" w:rsidRPr="005A0394">
        <w:t xml:space="preserve">head </w:t>
      </w:r>
      <w:r w:rsidRPr="005A0394">
        <w:t xml:space="preserve">of </w:t>
      </w:r>
      <w:r w:rsidR="002315A2">
        <w:t>P</w:t>
      </w:r>
      <w:r w:rsidR="002315A2" w:rsidRPr="005A0394">
        <w:t xml:space="preserve">otential </w:t>
      </w:r>
      <w:r w:rsidRPr="005A0394">
        <w:t xml:space="preserve">Gulf </w:t>
      </w:r>
      <w:r>
        <w:t>C</w:t>
      </w:r>
      <w:r w:rsidRPr="005A0394">
        <w:t>onflict?</w:t>
      </w:r>
      <w:r>
        <w:t xml:space="preserve">” </w:t>
      </w:r>
      <w:r>
        <w:rPr>
          <w:i/>
          <w:iCs/>
        </w:rPr>
        <w:t xml:space="preserve">China-Russia </w:t>
      </w:r>
      <w:r w:rsidRPr="00C56988">
        <w:rPr>
          <w:i/>
          <w:iCs/>
        </w:rPr>
        <w:t>Report</w:t>
      </w:r>
      <w:r>
        <w:t xml:space="preserve">, February 21, 2026. </w:t>
      </w:r>
      <w:hyperlink r:id="rId24" w:history="1">
        <w:r w:rsidRPr="00011F10">
          <w:rPr>
            <w:rStyle w:val="Hyperlink"/>
          </w:rPr>
          <w:t>https://chinarussiareport.substack.com/p/plan-skips-or-downplays-naval-exercises</w:t>
        </w:r>
      </w:hyperlink>
      <w:r>
        <w:t xml:space="preserve">; </w:t>
      </w:r>
      <w:r w:rsidRPr="00114212">
        <w:t xml:space="preserve">United States Army Training and Doctrine Command, </w:t>
      </w:r>
      <w:r w:rsidRPr="00C56988">
        <w:rPr>
          <w:i/>
          <w:iCs/>
        </w:rPr>
        <w:t>U.S. Adversaries’ Trilateral Naval Exercises Reflect Convenience, Not Convergence</w:t>
      </w:r>
      <w:r w:rsidRPr="00114212">
        <w:t xml:space="preserve">, July 1, 2025. </w:t>
      </w:r>
      <w:hyperlink r:id="rId25" w:history="1">
        <w:r w:rsidRPr="00114212">
          <w:rPr>
            <w:rStyle w:val="Hyperlink"/>
          </w:rPr>
          <w:t>https://g2webcontent.z2.web.core.usgovcloudapi.net/OEE/CRINK_01-25_1JUL25_anonymous.pdf</w:t>
        </w:r>
      </w:hyperlink>
      <w:r>
        <w:t>; E</w:t>
      </w:r>
      <w:r w:rsidRPr="002E5780">
        <w:t>va</w:t>
      </w:r>
      <w:r>
        <w:t xml:space="preserve"> Seiwert, “Iran’s First-Ever SCO Military Exercise Solidifies Ties with China and Russia,” </w:t>
      </w:r>
      <w:r>
        <w:rPr>
          <w:i/>
          <w:iCs/>
        </w:rPr>
        <w:t>MERICS</w:t>
      </w:r>
      <w:r>
        <w:t xml:space="preserve">, December 18, 2025. </w:t>
      </w:r>
      <w:hyperlink r:id="rId26" w:history="1">
        <w:r w:rsidRPr="00011F10">
          <w:rPr>
            <w:rStyle w:val="Hyperlink"/>
          </w:rPr>
          <w:t>https://merics.org/en/comment/irans-first-ever-sco-military-exercise-solidifies-ties-china-and-russia</w:t>
        </w:r>
      </w:hyperlink>
      <w:r>
        <w:t xml:space="preserve">; </w:t>
      </w:r>
      <w:r w:rsidRPr="00C56988">
        <w:t>China Military Online</w:t>
      </w:r>
      <w:r w:rsidRPr="003845F9">
        <w:t>,</w:t>
      </w:r>
      <w:r>
        <w:t xml:space="preserve"> </w:t>
      </w:r>
      <w:r w:rsidRPr="00C56988">
        <w:rPr>
          <w:i/>
          <w:iCs/>
        </w:rPr>
        <w:t>Maritime Phase of China-Iran-Russia ‘Security Belt-2025’ Joint Exercise Concludes</w:t>
      </w:r>
      <w:r>
        <w:t xml:space="preserve">, March 13, 2025. </w:t>
      </w:r>
      <w:hyperlink r:id="rId27" w:history="1">
        <w:r w:rsidRPr="00011F10">
          <w:rPr>
            <w:rStyle w:val="Hyperlink"/>
          </w:rPr>
          <w:t>https://web.archive.org/web/20260310160439/http://eng.mod.gov.cn/xb/News_213114/TopStories/16374735.html</w:t>
        </w:r>
      </w:hyperlink>
      <w:r>
        <w:t xml:space="preserve">; Alexey Muraviev, “Russia Makes </w:t>
      </w:r>
      <w:r w:rsidR="002315A2">
        <w:t xml:space="preserve">Its </w:t>
      </w:r>
      <w:r>
        <w:t xml:space="preserve">Presence Known in Iran Crisis,” </w:t>
      </w:r>
      <w:r>
        <w:rPr>
          <w:i/>
          <w:iCs/>
        </w:rPr>
        <w:t>Lowy Institute</w:t>
      </w:r>
      <w:r>
        <w:t xml:space="preserve">, January 24, 2020. </w:t>
      </w:r>
      <w:hyperlink r:id="rId28" w:history="1">
        <w:r w:rsidRPr="00011F10">
          <w:rPr>
            <w:rStyle w:val="Hyperlink"/>
          </w:rPr>
          <w:t>https://www.lowyinstitute.org/the-interpreter/russia-makes-its-presence-known-iran-crisis</w:t>
        </w:r>
      </w:hyperlink>
      <w:r>
        <w:t xml:space="preserve">. </w:t>
      </w:r>
    </w:p>
  </w:endnote>
  <w:endnote w:id="21">
    <w:p w14:paraId="7C6876C5" w14:textId="479DB1D1" w:rsidR="00874A78" w:rsidRPr="00DE432B" w:rsidRDefault="00874A78" w:rsidP="00021BBE">
      <w:pPr>
        <w:pStyle w:val="EndnoteText"/>
        <w:ind w:left="0" w:firstLine="0"/>
        <w:rPr>
          <w:lang w:eastAsia="zh-CN"/>
        </w:rPr>
      </w:pPr>
      <w:r>
        <w:rPr>
          <w:rStyle w:val="EndnoteReference"/>
        </w:rPr>
        <w:endnoteRef/>
      </w:r>
      <w:r>
        <w:rPr>
          <w:lang w:eastAsia="zh-CN"/>
        </w:rPr>
        <w:t xml:space="preserve"> </w:t>
      </w:r>
      <w:r>
        <w:t>Joseph Webster, “</w:t>
      </w:r>
      <w:r w:rsidRPr="00114212">
        <w:t xml:space="preserve">PLAN Skips or Downplays Naval Exercises with Iran and Russia </w:t>
      </w:r>
      <w:r w:rsidR="007A3AB3">
        <w:t>a</w:t>
      </w:r>
      <w:r w:rsidRPr="00114212">
        <w:t xml:space="preserve">head of </w:t>
      </w:r>
      <w:r w:rsidR="007A3AB3" w:rsidRPr="00114212">
        <w:t xml:space="preserve">Potential </w:t>
      </w:r>
      <w:r w:rsidRPr="00114212">
        <w:t>Gulf Conflict</w:t>
      </w:r>
      <w:r w:rsidRPr="005A0394">
        <w:t>?</w:t>
      </w:r>
      <w:r>
        <w:t xml:space="preserve">” </w:t>
      </w:r>
      <w:r>
        <w:rPr>
          <w:i/>
          <w:iCs/>
        </w:rPr>
        <w:t xml:space="preserve">China-Russia </w:t>
      </w:r>
      <w:r w:rsidRPr="00C56988">
        <w:rPr>
          <w:i/>
          <w:iCs/>
        </w:rPr>
        <w:t>Report</w:t>
      </w:r>
      <w:r w:rsidRPr="007A3AB3">
        <w:t xml:space="preserve">, </w:t>
      </w:r>
      <w:r>
        <w:t xml:space="preserve">February 21, 2026. </w:t>
      </w:r>
      <w:hyperlink r:id="rId29" w:history="1">
        <w:r w:rsidRPr="00011F10">
          <w:rPr>
            <w:rStyle w:val="Hyperlink"/>
          </w:rPr>
          <w:t>https://chinarussiareport.substack.com/p/plan-skips-or-downplays-naval-exercises</w:t>
        </w:r>
      </w:hyperlink>
      <w:r>
        <w:t>;</w:t>
      </w:r>
      <w:r w:rsidR="002315A2">
        <w:rPr>
          <w:lang w:eastAsia="zh-CN"/>
        </w:rPr>
        <w:t xml:space="preserve"> </w:t>
      </w:r>
      <w:r w:rsidRPr="00DE432B">
        <w:rPr>
          <w:rFonts w:hint="eastAsia"/>
          <w:lang w:eastAsia="zh-CN"/>
        </w:rPr>
        <w:t>伊朗与俄罗斯海军联合海上演习结束</w:t>
      </w:r>
      <w:r>
        <w:rPr>
          <w:lang w:eastAsia="zh-CN"/>
        </w:rPr>
        <w:t xml:space="preserve"> [</w:t>
      </w:r>
      <w:r w:rsidRPr="00DE432B">
        <w:rPr>
          <w:lang w:eastAsia="zh-CN"/>
        </w:rPr>
        <w:t xml:space="preserve">Joint </w:t>
      </w:r>
      <w:r>
        <w:rPr>
          <w:lang w:eastAsia="zh-CN"/>
        </w:rPr>
        <w:t>N</w:t>
      </w:r>
      <w:r w:rsidRPr="00DE432B">
        <w:rPr>
          <w:lang w:eastAsia="zh-CN"/>
        </w:rPr>
        <w:t xml:space="preserve">aval </w:t>
      </w:r>
      <w:r>
        <w:rPr>
          <w:lang w:eastAsia="zh-CN"/>
        </w:rPr>
        <w:t>E</w:t>
      </w:r>
      <w:r w:rsidRPr="00DE432B">
        <w:rPr>
          <w:lang w:eastAsia="zh-CN"/>
        </w:rPr>
        <w:t xml:space="preserve">xercises between Iran and Russia </w:t>
      </w:r>
      <w:r w:rsidR="007A3AB3" w:rsidRPr="00DE432B">
        <w:rPr>
          <w:lang w:eastAsia="zh-CN"/>
        </w:rPr>
        <w:t xml:space="preserve">Have </w:t>
      </w:r>
      <w:r>
        <w:rPr>
          <w:lang w:eastAsia="zh-CN"/>
        </w:rPr>
        <w:t>C</w:t>
      </w:r>
      <w:r w:rsidRPr="00DE432B">
        <w:rPr>
          <w:lang w:eastAsia="zh-CN"/>
        </w:rPr>
        <w:t>onclude</w:t>
      </w:r>
      <w:r>
        <w:rPr>
          <w:lang w:eastAsia="zh-CN"/>
        </w:rPr>
        <w:t xml:space="preserve">d], </w:t>
      </w:r>
      <w:r w:rsidR="002315A2">
        <w:rPr>
          <w:i/>
          <w:iCs/>
          <w:lang w:eastAsia="zh-CN"/>
        </w:rPr>
        <w:t>Xinhua</w:t>
      </w:r>
      <w:r w:rsidR="002315A2">
        <w:rPr>
          <w:lang w:eastAsia="zh-CN"/>
        </w:rPr>
        <w:t xml:space="preserve">, </w:t>
      </w:r>
      <w:r>
        <w:rPr>
          <w:lang w:eastAsia="zh-CN"/>
        </w:rPr>
        <w:t xml:space="preserve">February 20, 2026. </w:t>
      </w:r>
      <w:hyperlink r:id="rId30" w:history="1">
        <w:r w:rsidRPr="00011F10">
          <w:rPr>
            <w:rStyle w:val="Hyperlink"/>
            <w:lang w:eastAsia="zh-CN"/>
          </w:rPr>
          <w:t>https://web.archive.org/web/20260222144840/https://world.people.com.cn/n1/2026/0220/c1002-40667817.html</w:t>
        </w:r>
      </w:hyperlink>
      <w:r>
        <w:rPr>
          <w:lang w:eastAsia="zh-CN"/>
        </w:rPr>
        <w:t>.</w:t>
      </w:r>
    </w:p>
  </w:endnote>
  <w:endnote w:id="22">
    <w:p w14:paraId="4EA17022" w14:textId="07BB7F10" w:rsidR="00874A78" w:rsidRPr="00C56988" w:rsidRDefault="00874A78" w:rsidP="00021BBE">
      <w:pPr>
        <w:pStyle w:val="EndnoteText"/>
        <w:ind w:left="0" w:firstLine="0"/>
        <w:rPr>
          <w:rFonts w:ascii="Segoe UI" w:eastAsia="Segoe UI" w:hAnsi="Segoe UI" w:cs="Segoe UI"/>
          <w:color w:val="333333"/>
          <w:szCs w:val="16"/>
        </w:rPr>
      </w:pPr>
      <w:r w:rsidRPr="00C56988">
        <w:rPr>
          <w:rStyle w:val="EndnoteReference"/>
          <w:color w:val="auto"/>
          <w:sz w:val="14"/>
          <w:szCs w:val="18"/>
        </w:rPr>
        <w:endnoteRef/>
      </w:r>
      <w:r w:rsidRPr="00C56988">
        <w:rPr>
          <w:color w:val="auto"/>
          <w:sz w:val="14"/>
          <w:szCs w:val="18"/>
        </w:rPr>
        <w:t xml:space="preserve"> </w:t>
      </w:r>
      <w:r w:rsidRPr="00C56988">
        <w:rPr>
          <w:rFonts w:ascii="Segoe UI" w:eastAsia="Segoe UI" w:hAnsi="Segoe UI" w:cs="Segoe UI"/>
          <w:color w:val="auto"/>
          <w:szCs w:val="16"/>
        </w:rPr>
        <w:t xml:space="preserve">Eva Seiwert, “Iran's </w:t>
      </w:r>
      <w:r w:rsidR="007A3AB3" w:rsidRPr="00C56988">
        <w:rPr>
          <w:rFonts w:ascii="Segoe UI" w:eastAsia="Segoe UI" w:hAnsi="Segoe UI" w:cs="Segoe UI"/>
          <w:color w:val="auto"/>
          <w:szCs w:val="16"/>
        </w:rPr>
        <w:t xml:space="preserve">First-Ever </w:t>
      </w:r>
      <w:r w:rsidRPr="00C56988">
        <w:rPr>
          <w:rFonts w:ascii="Segoe UI" w:eastAsia="Segoe UI" w:hAnsi="Segoe UI" w:cs="Segoe UI"/>
          <w:color w:val="auto"/>
          <w:szCs w:val="16"/>
        </w:rPr>
        <w:t xml:space="preserve">SCO </w:t>
      </w:r>
      <w:r w:rsidR="007A3AB3" w:rsidRPr="00C56988">
        <w:rPr>
          <w:rFonts w:ascii="Segoe UI" w:eastAsia="Segoe UI" w:hAnsi="Segoe UI" w:cs="Segoe UI"/>
          <w:color w:val="auto"/>
          <w:szCs w:val="16"/>
        </w:rPr>
        <w:t xml:space="preserve">Military Exercise Solidifies Ties </w:t>
      </w:r>
      <w:r w:rsidRPr="00C56988">
        <w:rPr>
          <w:rFonts w:ascii="Segoe UI" w:eastAsia="Segoe UI" w:hAnsi="Segoe UI" w:cs="Segoe UI"/>
          <w:color w:val="auto"/>
          <w:szCs w:val="16"/>
        </w:rPr>
        <w:t xml:space="preserve">with China and Russia,” </w:t>
      </w:r>
      <w:r w:rsidRPr="00C56988">
        <w:rPr>
          <w:rFonts w:ascii="Segoe UI" w:eastAsia="Segoe UI" w:hAnsi="Segoe UI" w:cs="Segoe UI"/>
          <w:i/>
          <w:iCs/>
          <w:color w:val="auto"/>
          <w:szCs w:val="16"/>
        </w:rPr>
        <w:t>MERICS</w:t>
      </w:r>
      <w:r w:rsidRPr="00C56988">
        <w:rPr>
          <w:rFonts w:ascii="Segoe UI" w:eastAsia="Segoe UI" w:hAnsi="Segoe UI" w:cs="Segoe UI"/>
          <w:color w:val="auto"/>
          <w:szCs w:val="16"/>
        </w:rPr>
        <w:t xml:space="preserve">, December 18, 2025. </w:t>
      </w:r>
      <w:hyperlink r:id="rId31" w:history="1">
        <w:r w:rsidRPr="00C56988">
          <w:rPr>
            <w:rStyle w:val="Hyperlink"/>
            <w:rFonts w:ascii="Segoe UI" w:eastAsia="Segoe UI" w:hAnsi="Segoe UI" w:cs="Segoe UI"/>
            <w:szCs w:val="16"/>
          </w:rPr>
          <w:t>https://merics.org/en/comment/irans-first-ever-sco-military-exercise-solidifies-ties-china-and-russia</w:t>
        </w:r>
      </w:hyperlink>
      <w:r w:rsidRPr="00C56988">
        <w:rPr>
          <w:rFonts w:ascii="Segoe UI" w:eastAsia="Segoe UI" w:hAnsi="Segoe UI" w:cs="Segoe UI"/>
          <w:color w:val="333333"/>
          <w:szCs w:val="16"/>
        </w:rPr>
        <w:t xml:space="preserve">. </w:t>
      </w:r>
    </w:p>
  </w:endnote>
  <w:endnote w:id="23">
    <w:p w14:paraId="225798E7" w14:textId="653F6DB5" w:rsidR="00874A78" w:rsidRDefault="00874A78" w:rsidP="00021BBE">
      <w:pPr>
        <w:pStyle w:val="EndnoteText"/>
        <w:ind w:left="0" w:firstLine="0"/>
      </w:pPr>
      <w:r>
        <w:rPr>
          <w:rStyle w:val="EndnoteReference"/>
        </w:rPr>
        <w:endnoteRef/>
      </w:r>
      <w:r>
        <w:t xml:space="preserve"> </w:t>
      </w:r>
      <w:r w:rsidRPr="009642F9">
        <w:t>U.S.-China Economic and Security Review Commission</w:t>
      </w:r>
      <w:r>
        <w:t xml:space="preserve">, </w:t>
      </w:r>
      <w:r>
        <w:rPr>
          <w:i/>
          <w:iCs/>
        </w:rPr>
        <w:t>China Bulletin: January 14, 2026</w:t>
      </w:r>
      <w:r w:rsidRPr="00C56988">
        <w:t>,</w:t>
      </w:r>
      <w:r>
        <w:rPr>
          <w:i/>
          <w:iCs/>
        </w:rPr>
        <w:t xml:space="preserve"> </w:t>
      </w:r>
      <w:r w:rsidRPr="009642F9">
        <w:t>January 14, 2026.</w:t>
      </w:r>
      <w:r>
        <w:rPr>
          <w:i/>
          <w:iCs/>
        </w:rPr>
        <w:t xml:space="preserve"> </w:t>
      </w:r>
      <w:hyperlink r:id="rId32" w:anchor="_edn34" w:history="1">
        <w:r w:rsidRPr="006213D8">
          <w:rPr>
            <w:rStyle w:val="Hyperlink"/>
            <w:i/>
            <w:iCs/>
          </w:rPr>
          <w:t>https://www.uscc.gov/trade-bulletins/china-bulletin-january-14-2026</w:t>
        </w:r>
      </w:hyperlink>
      <w:r w:rsidRPr="00C56988">
        <w:t xml:space="preserve">; </w:t>
      </w:r>
      <w:r w:rsidRPr="009642F9">
        <w:t xml:space="preserve">Peter Fabricius, “Iran Pulls Out of SA’s Joint Naval Exercise </w:t>
      </w:r>
      <w:r w:rsidR="006213D8">
        <w:t>a</w:t>
      </w:r>
      <w:r w:rsidRPr="009642F9">
        <w:t>mid Political Tensions,” </w:t>
      </w:r>
      <w:r w:rsidRPr="009642F9">
        <w:rPr>
          <w:i/>
          <w:iCs/>
        </w:rPr>
        <w:t>Daily Maverick</w:t>
      </w:r>
      <w:r w:rsidRPr="009642F9">
        <w:t>, January 12, 2026. </w:t>
      </w:r>
      <w:hyperlink r:id="rId33" w:tgtFrame="_blank" w:tooltip="(opens in a new window)" w:history="1">
        <w:r w:rsidRPr="009642F9">
          <w:rPr>
            <w:rStyle w:val="Hyperlink"/>
          </w:rPr>
          <w:t>https://web.archive.org/web/20260112214107/https://www.dailymaverick.co.za/article/2026-01-12-iran-pulls-out-of-sas-joint-naval-exercise-amid-political-tensions/</w:t>
        </w:r>
      </w:hyperlink>
      <w:r w:rsidR="007A3AB3">
        <w:t>.</w:t>
      </w:r>
    </w:p>
  </w:endnote>
  <w:endnote w:id="24">
    <w:p w14:paraId="0599707D" w14:textId="638B894C" w:rsidR="00070EA8" w:rsidRDefault="00070EA8" w:rsidP="00021BBE">
      <w:pPr>
        <w:pStyle w:val="EndnoteText"/>
        <w:ind w:left="0" w:firstLine="0"/>
      </w:pPr>
      <w:r>
        <w:rPr>
          <w:rStyle w:val="EndnoteReference"/>
        </w:rPr>
        <w:endnoteRef/>
      </w:r>
      <w:r>
        <w:t xml:space="preserve"> China’s General Administration of Customs via Haver Analytics.</w:t>
      </w:r>
    </w:p>
  </w:endnote>
  <w:endnote w:id="25">
    <w:p w14:paraId="05313CCC" w14:textId="296313BF" w:rsidR="00DE655D" w:rsidRDefault="00DE655D" w:rsidP="00021BBE">
      <w:pPr>
        <w:pStyle w:val="EndnoteText"/>
        <w:ind w:left="0" w:firstLine="0"/>
      </w:pPr>
      <w:r>
        <w:rPr>
          <w:rStyle w:val="EndnoteReference"/>
        </w:rPr>
        <w:endnoteRef/>
      </w:r>
      <w:r>
        <w:t xml:space="preserve"> </w:t>
      </w:r>
      <w:r>
        <w:t>Paroma Soni and Catherine Allen, “</w:t>
      </w:r>
      <w:r w:rsidRPr="00DE655D">
        <w:t xml:space="preserve">5 </w:t>
      </w:r>
      <w:r>
        <w:t>C</w:t>
      </w:r>
      <w:r w:rsidRPr="00DE655D">
        <w:t xml:space="preserve">harts </w:t>
      </w:r>
      <w:r>
        <w:t>S</w:t>
      </w:r>
      <w:r w:rsidRPr="00DE655D">
        <w:t xml:space="preserve">how China’s </w:t>
      </w:r>
      <w:r>
        <w:t>O</w:t>
      </w:r>
      <w:r w:rsidRPr="00DE655D">
        <w:t xml:space="preserve">il </w:t>
      </w:r>
      <w:r>
        <w:t>D</w:t>
      </w:r>
      <w:r w:rsidRPr="00DE655D">
        <w:t xml:space="preserve">ilemma after US </w:t>
      </w:r>
      <w:r>
        <w:t>S</w:t>
      </w:r>
      <w:r w:rsidRPr="00DE655D">
        <w:t>trikes</w:t>
      </w:r>
      <w:r>
        <w:t xml:space="preserve">,” </w:t>
      </w:r>
      <w:r w:rsidRPr="00DE655D">
        <w:rPr>
          <w:i/>
          <w:iCs/>
        </w:rPr>
        <w:t>Politico</w:t>
      </w:r>
      <w:r>
        <w:t xml:space="preserve">, March 2, 2026. </w:t>
      </w:r>
      <w:hyperlink r:id="rId34" w:history="1">
        <w:r w:rsidRPr="002B3EFE">
          <w:rPr>
            <w:rStyle w:val="Hyperlink"/>
          </w:rPr>
          <w:t>https://www.politico.com/news/2026/03/02/iran-us-strikes-china-oil-supply-charts-00806415</w:t>
        </w:r>
      </w:hyperlink>
      <w:r>
        <w:t xml:space="preserve">; </w:t>
      </w:r>
      <w:r w:rsidR="0077618A">
        <w:t>“</w:t>
      </w:r>
      <w:r w:rsidR="0077618A" w:rsidRPr="0077618A">
        <w:t xml:space="preserve">China's </w:t>
      </w:r>
      <w:r w:rsidR="0077618A">
        <w:t>H</w:t>
      </w:r>
      <w:r w:rsidR="0077618A" w:rsidRPr="0077618A">
        <w:t xml:space="preserve">eavy </w:t>
      </w:r>
      <w:r w:rsidR="0077618A">
        <w:t>R</w:t>
      </w:r>
      <w:r w:rsidR="0077618A" w:rsidRPr="0077618A">
        <w:t xml:space="preserve">eliance on Iranian </w:t>
      </w:r>
      <w:r w:rsidR="0077618A">
        <w:t>O</w:t>
      </w:r>
      <w:r w:rsidR="0077618A" w:rsidRPr="0077618A">
        <w:t xml:space="preserve">il </w:t>
      </w:r>
      <w:r w:rsidR="0077618A">
        <w:t>I</w:t>
      </w:r>
      <w:r w:rsidR="0077618A" w:rsidRPr="0077618A">
        <w:t>mports</w:t>
      </w:r>
      <w:r w:rsidR="0077618A">
        <w:t xml:space="preserve">,” </w:t>
      </w:r>
      <w:r w:rsidR="0077618A" w:rsidRPr="00C56988">
        <w:rPr>
          <w:i/>
          <w:iCs/>
        </w:rPr>
        <w:t>Reuters</w:t>
      </w:r>
      <w:r w:rsidR="0077618A">
        <w:t xml:space="preserve">, January 13, 2026. </w:t>
      </w:r>
      <w:hyperlink r:id="rId35" w:history="1">
        <w:r w:rsidR="0077618A" w:rsidRPr="00540332">
          <w:rPr>
            <w:rStyle w:val="Hyperlink"/>
          </w:rPr>
          <w:t>https://www.reuters.com/business/energy/chinas-heavy-reliance-iranian-oil-imports-2026-01-13</w:t>
        </w:r>
      </w:hyperlink>
      <w:r w:rsidR="0077618A">
        <w:t xml:space="preserve">; </w:t>
      </w:r>
      <w:r>
        <w:t>China’s General Administration of Customs via Haver Analytics.</w:t>
      </w:r>
    </w:p>
  </w:endnote>
  <w:endnote w:id="26">
    <w:p w14:paraId="6AD389E4" w14:textId="50FD4867" w:rsidR="00E21D14" w:rsidRDefault="00E21D14" w:rsidP="00021BBE">
      <w:pPr>
        <w:pStyle w:val="EndnoteText"/>
        <w:ind w:left="0" w:firstLine="0"/>
      </w:pPr>
      <w:r>
        <w:rPr>
          <w:rStyle w:val="EndnoteReference"/>
        </w:rPr>
        <w:endnoteRef/>
      </w:r>
      <w:r>
        <w:t xml:space="preserve"> </w:t>
      </w:r>
      <w:r w:rsidRPr="00E21D14">
        <w:t xml:space="preserve">China’s Ministry of Foreign Affairs, </w:t>
      </w:r>
      <w:r w:rsidRPr="00E21D14">
        <w:t>中国同伊朗的关系</w:t>
      </w:r>
      <w:r w:rsidRPr="00E21D14">
        <w:t xml:space="preserve"> [China-Iran Relations], accessed October 2, 2025; Assaf Orion, “Two ‘Axes’ Converging in Iran,” </w:t>
      </w:r>
      <w:r w:rsidRPr="00C56988">
        <w:rPr>
          <w:i/>
          <w:iCs/>
        </w:rPr>
        <w:t>Washington Institute for Near East Policy</w:t>
      </w:r>
      <w:r w:rsidRPr="00E21D14">
        <w:t xml:space="preserve">, December 23, 2024; Umud Shokri, “Obstacles and Opportunities for Closer Iranian-Chinese Economic Cooperation,” </w:t>
      </w:r>
      <w:r w:rsidRPr="00C56988">
        <w:rPr>
          <w:i/>
          <w:iCs/>
        </w:rPr>
        <w:t>Middle East Institute</w:t>
      </w:r>
      <w:r w:rsidRPr="00E21D14">
        <w:t>, June 23, 2023.</w:t>
      </w:r>
    </w:p>
  </w:endnote>
  <w:endnote w:id="27">
    <w:p w14:paraId="61ED47DA" w14:textId="58F94267" w:rsidR="003328B1" w:rsidRDefault="003328B1" w:rsidP="00021BBE">
      <w:pPr>
        <w:pStyle w:val="EndnoteText"/>
        <w:ind w:left="0" w:firstLine="0"/>
      </w:pPr>
      <w:r>
        <w:rPr>
          <w:rStyle w:val="EndnoteReference"/>
        </w:rPr>
        <w:endnoteRef/>
      </w:r>
      <w:r>
        <w:t xml:space="preserve"> Austin Ramzy, “</w:t>
      </w:r>
      <w:r w:rsidRPr="00283DEC">
        <w:t xml:space="preserve">Why China Is Doing So Little to Help a Friend </w:t>
      </w:r>
      <w:r w:rsidR="00B845A2">
        <w:t>u</w:t>
      </w:r>
      <w:r w:rsidRPr="00283DEC">
        <w:t>nder Fire</w:t>
      </w:r>
      <w:r>
        <w:t xml:space="preserve">,” </w:t>
      </w:r>
      <w:r w:rsidRPr="00283DEC">
        <w:rPr>
          <w:i/>
          <w:iCs/>
        </w:rPr>
        <w:t>Wall Street Journal</w:t>
      </w:r>
      <w:r>
        <w:t xml:space="preserve">, March 3, 2026. </w:t>
      </w:r>
      <w:hyperlink r:id="rId36" w:history="1">
        <w:r w:rsidRPr="002B3EFE">
          <w:rPr>
            <w:rStyle w:val="Hyperlink"/>
          </w:rPr>
          <w:t>https://www.wsj.com/world/iran-china-war-strategy-4e0132fc?gaa_at=eafs&amp;gaa_n=AWEtsqc3Pl6L4Y3iuksKzJ14UJdpUjKlTX8VIKOLmA04sa8-V09iZu9fsXcByT2NaOU%3D&amp;gaa_ts=69af17c0&amp;gaa_sig=V5cmj4wV4RZpBpUAfiWYjh6jwC7F8Tx-vFNfUW2jl6_NEQZN-VvEletL5dvjLYaUhdZyh7pLIpJqDO9BtZYt5g%3D%3D</w:t>
        </w:r>
      </w:hyperlink>
      <w:r>
        <w:t xml:space="preserve">. </w:t>
      </w:r>
    </w:p>
  </w:endnote>
  <w:endnote w:id="28">
    <w:p w14:paraId="1CF6B05E" w14:textId="40952914" w:rsidR="00895EBC" w:rsidRDefault="00895EBC" w:rsidP="00021BBE">
      <w:pPr>
        <w:pStyle w:val="EndnoteText"/>
        <w:ind w:left="0" w:firstLine="0"/>
      </w:pPr>
      <w:r>
        <w:rPr>
          <w:rStyle w:val="EndnoteReference"/>
        </w:rPr>
        <w:endnoteRef/>
      </w:r>
      <w:r>
        <w:t xml:space="preserve"> Laurence Norman and James T. Areddy, “</w:t>
      </w:r>
      <w:r w:rsidRPr="00895EBC">
        <w:t>How China Secretly Pays Iran for Oil and Avoids U.S. Sanctions</w:t>
      </w:r>
      <w:r>
        <w:t xml:space="preserve">,” </w:t>
      </w:r>
      <w:r w:rsidRPr="00895EBC">
        <w:rPr>
          <w:i/>
          <w:iCs/>
        </w:rPr>
        <w:t>Wall Street Journal</w:t>
      </w:r>
      <w:r>
        <w:t xml:space="preserve">, October 5, 2025. </w:t>
      </w:r>
      <w:hyperlink r:id="rId37" w:history="1">
        <w:r w:rsidRPr="002B3EFE">
          <w:rPr>
            <w:rStyle w:val="Hyperlink"/>
          </w:rPr>
          <w:t>https://www.wsj.com/world/middle-east/how-china-secretly-pays-iran-for-oil-and-avoids-u-s-sanctions-b6f1b71e?mod=article_inline</w:t>
        </w:r>
      </w:hyperlink>
      <w:r>
        <w:t xml:space="preserve">. </w:t>
      </w:r>
    </w:p>
  </w:endnote>
  <w:endnote w:id="29">
    <w:p w14:paraId="163C04C0" w14:textId="49794BEE" w:rsidR="003328B1" w:rsidRDefault="003328B1" w:rsidP="00021BBE">
      <w:pPr>
        <w:pStyle w:val="EndnoteText"/>
        <w:ind w:left="0" w:firstLine="0"/>
      </w:pPr>
      <w:r>
        <w:rPr>
          <w:rStyle w:val="EndnoteReference"/>
        </w:rPr>
        <w:endnoteRef/>
      </w:r>
      <w:r w:rsidR="00FF1E18">
        <w:t xml:space="preserve"> </w:t>
      </w:r>
      <w:r>
        <w:t>Paroma Soni and Catherine Allen, “</w:t>
      </w:r>
      <w:r w:rsidRPr="00DE655D">
        <w:t xml:space="preserve">5 </w:t>
      </w:r>
      <w:r>
        <w:t>C</w:t>
      </w:r>
      <w:r w:rsidRPr="00DE655D">
        <w:t xml:space="preserve">harts </w:t>
      </w:r>
      <w:r>
        <w:t>S</w:t>
      </w:r>
      <w:r w:rsidRPr="00DE655D">
        <w:t xml:space="preserve">how China’s </w:t>
      </w:r>
      <w:r>
        <w:t>O</w:t>
      </w:r>
      <w:r w:rsidRPr="00DE655D">
        <w:t xml:space="preserve">il </w:t>
      </w:r>
      <w:r>
        <w:t>D</w:t>
      </w:r>
      <w:r w:rsidRPr="00DE655D">
        <w:t xml:space="preserve">ilemma after US </w:t>
      </w:r>
      <w:r>
        <w:t>S</w:t>
      </w:r>
      <w:r w:rsidRPr="00DE655D">
        <w:t>trikes</w:t>
      </w:r>
      <w:r>
        <w:t xml:space="preserve">,” </w:t>
      </w:r>
      <w:r w:rsidRPr="00DE655D">
        <w:rPr>
          <w:i/>
          <w:iCs/>
        </w:rPr>
        <w:t>Politico</w:t>
      </w:r>
      <w:r>
        <w:t xml:space="preserve">, March 2, 2026. </w:t>
      </w:r>
      <w:hyperlink r:id="rId38" w:history="1">
        <w:r w:rsidRPr="002B3EFE">
          <w:rPr>
            <w:rStyle w:val="Hyperlink"/>
          </w:rPr>
          <w:t>https://www.politico.com/news/2026/03/02/iran-us-strikes-china-oil-supply-charts-00806415</w:t>
        </w:r>
      </w:hyperlink>
      <w:r>
        <w:t>; “</w:t>
      </w:r>
      <w:r w:rsidRPr="0077618A">
        <w:t>China</w:t>
      </w:r>
      <w:r w:rsidR="00A7144C">
        <w:t>’</w:t>
      </w:r>
      <w:r w:rsidRPr="0077618A">
        <w:t xml:space="preserve">s </w:t>
      </w:r>
      <w:r>
        <w:t>H</w:t>
      </w:r>
      <w:r w:rsidRPr="0077618A">
        <w:t xml:space="preserve">eavy </w:t>
      </w:r>
      <w:r>
        <w:t>R</w:t>
      </w:r>
      <w:r w:rsidRPr="0077618A">
        <w:t xml:space="preserve">eliance on Iranian </w:t>
      </w:r>
      <w:r>
        <w:t>O</w:t>
      </w:r>
      <w:r w:rsidRPr="0077618A">
        <w:t xml:space="preserve">il </w:t>
      </w:r>
      <w:r>
        <w:t>I</w:t>
      </w:r>
      <w:r w:rsidRPr="0077618A">
        <w:t>mports</w:t>
      </w:r>
      <w:r>
        <w:t xml:space="preserve">,” </w:t>
      </w:r>
      <w:r w:rsidRPr="00CE20B4">
        <w:rPr>
          <w:i/>
          <w:iCs/>
        </w:rPr>
        <w:t>Reuters</w:t>
      </w:r>
      <w:r>
        <w:t xml:space="preserve">, January 13, 2026. </w:t>
      </w:r>
      <w:hyperlink r:id="rId39" w:history="1">
        <w:r w:rsidRPr="00540332">
          <w:rPr>
            <w:rStyle w:val="Hyperlink"/>
          </w:rPr>
          <w:t>https://www.reuters.com/business/energy/chinas-heavy-reliance-iranian-oil-imports-2026-01-13</w:t>
        </w:r>
      </w:hyperlink>
      <w:r>
        <w:t xml:space="preserve">; U.S.-China Economic and Security Review Commission, </w:t>
      </w:r>
      <w:r w:rsidRPr="0020141C">
        <w:rPr>
          <w:i/>
          <w:iCs/>
        </w:rPr>
        <w:t>202</w:t>
      </w:r>
      <w:r>
        <w:rPr>
          <w:i/>
          <w:iCs/>
        </w:rPr>
        <w:t>5</w:t>
      </w:r>
      <w:r w:rsidRPr="0020141C">
        <w:rPr>
          <w:i/>
          <w:iCs/>
        </w:rPr>
        <w:t xml:space="preserve"> Annual Report to Congress</w:t>
      </w:r>
      <w:r>
        <w:t xml:space="preserve">, November 2025, 176; China’s General Administration of Customs via Haver Analytics. [factchecker: Figures in Axis Trade Stats” tab “Iran Trade” in </w:t>
      </w:r>
      <w:r w:rsidRPr="00070EA8">
        <w:t>M:\Annual Reports to Congress\2025\03_Axis of Autocracy\8_Sources for FACTCHECK</w:t>
      </w:r>
      <w:r>
        <w:t>]</w:t>
      </w:r>
    </w:p>
  </w:endnote>
  <w:endnote w:id="30">
    <w:p w14:paraId="4F345872" w14:textId="0E89AB59" w:rsidR="00C564DC" w:rsidRDefault="00C564DC" w:rsidP="00021BBE">
      <w:pPr>
        <w:pStyle w:val="EndnoteText"/>
        <w:ind w:left="0" w:firstLine="0"/>
      </w:pPr>
      <w:r>
        <w:rPr>
          <w:rStyle w:val="EndnoteReference"/>
        </w:rPr>
        <w:endnoteRef/>
      </w:r>
      <w:r>
        <w:t xml:space="preserve"> </w:t>
      </w:r>
      <w:r w:rsidRPr="00C564DC">
        <w:t>Arsalan Shahla, Grant Smith, and Anthony Di Paola</w:t>
      </w:r>
      <w:r>
        <w:t>, “</w:t>
      </w:r>
      <w:r w:rsidRPr="00C564DC">
        <w:t>Iran Conflict Ensnares Energy as Israel Hits Giant Gas Field</w:t>
      </w:r>
      <w:r>
        <w:t xml:space="preserve">,” </w:t>
      </w:r>
      <w:r w:rsidRPr="00C564DC">
        <w:rPr>
          <w:i/>
          <w:iCs/>
        </w:rPr>
        <w:t>Bloomberg</w:t>
      </w:r>
      <w:r>
        <w:t xml:space="preserve">, June 14, 2025. </w:t>
      </w:r>
      <w:hyperlink r:id="rId40" w:history="1">
        <w:r w:rsidRPr="002B3EFE">
          <w:rPr>
            <w:rStyle w:val="Hyperlink"/>
          </w:rPr>
          <w:t>https://www.bloomberg.com/news/articles/2025-06-14/israel-strikes-refinery-at-iran-s-giant-south-pars-gas-field</w:t>
        </w:r>
      </w:hyperlink>
      <w:r>
        <w:t xml:space="preserve">; U.S. Energy Information Administration, </w:t>
      </w:r>
      <w:r w:rsidRPr="00C564DC">
        <w:rPr>
          <w:i/>
          <w:iCs/>
        </w:rPr>
        <w:t>Iran</w:t>
      </w:r>
      <w:r>
        <w:t xml:space="preserve">, October 10, 2024. </w:t>
      </w:r>
      <w:hyperlink r:id="rId41" w:history="1">
        <w:r w:rsidRPr="002B3EFE">
          <w:rPr>
            <w:rStyle w:val="Hyperlink"/>
          </w:rPr>
          <w:t>https://www.eia.gov/international/analysis/country/irn</w:t>
        </w:r>
      </w:hyperlink>
      <w:r>
        <w:t xml:space="preserve">.  </w:t>
      </w:r>
    </w:p>
  </w:endnote>
  <w:endnote w:id="31">
    <w:p w14:paraId="797D7E5A" w14:textId="77777777" w:rsidR="00F33D0D" w:rsidRDefault="00F33D0D" w:rsidP="00021BBE">
      <w:pPr>
        <w:pStyle w:val="EndnoteText"/>
        <w:ind w:left="0" w:firstLine="0"/>
      </w:pPr>
      <w:r>
        <w:rPr>
          <w:rStyle w:val="EndnoteReference"/>
        </w:rPr>
        <w:endnoteRef/>
      </w:r>
      <w:r>
        <w:t xml:space="preserve"> “2025 OPEC Annual Statistical Bulletin,” </w:t>
      </w:r>
      <w:r>
        <w:rPr>
          <w:i/>
          <w:iCs/>
        </w:rPr>
        <w:t>Organization of the Petroleum Exporting Countries</w:t>
      </w:r>
      <w:r>
        <w:t xml:space="preserve">, July 2, 2025, 18. </w:t>
      </w:r>
      <w:hyperlink r:id="rId42" w:history="1">
        <w:r w:rsidRPr="00FC01A0">
          <w:rPr>
            <w:rStyle w:val="Hyperlink"/>
          </w:rPr>
          <w:t>https://www.opec.org/assets/assetdb/asb-2025.pdf</w:t>
        </w:r>
      </w:hyperlink>
      <w:r>
        <w:t xml:space="preserve">; U.S. Energy Information Administration, </w:t>
      </w:r>
      <w:r w:rsidRPr="00C564DC">
        <w:rPr>
          <w:i/>
          <w:iCs/>
        </w:rPr>
        <w:t>Iran</w:t>
      </w:r>
      <w:r>
        <w:t xml:space="preserve">, October 10, 2024. </w:t>
      </w:r>
      <w:hyperlink r:id="rId43" w:history="1">
        <w:r w:rsidRPr="002B3EFE">
          <w:rPr>
            <w:rStyle w:val="Hyperlink"/>
          </w:rPr>
          <w:t>https://www.eia.gov/international/analysis/country/irn</w:t>
        </w:r>
      </w:hyperlink>
      <w:r>
        <w:t xml:space="preserve">. </w:t>
      </w:r>
    </w:p>
  </w:endnote>
  <w:endnote w:id="32">
    <w:p w14:paraId="5283B272" w14:textId="5F9B07D3" w:rsidR="0045404E" w:rsidRDefault="0045404E" w:rsidP="00021BBE">
      <w:pPr>
        <w:pStyle w:val="EndnoteText"/>
        <w:ind w:left="0" w:firstLine="0"/>
      </w:pPr>
      <w:r>
        <w:rPr>
          <w:rStyle w:val="EndnoteReference"/>
        </w:rPr>
        <w:endnoteRef/>
      </w:r>
      <w:r>
        <w:t xml:space="preserve"> </w:t>
      </w:r>
      <w:r w:rsidR="007C1706">
        <w:t>United Against Nuclear Iran, “Iran Tanker Tracker</w:t>
      </w:r>
      <w:r w:rsidR="00C843B2">
        <w:t>,</w:t>
      </w:r>
      <w:r w:rsidR="007C1706">
        <w:t>”</w:t>
      </w:r>
      <w:r w:rsidR="00C843B2">
        <w:t xml:space="preserve"> </w:t>
      </w:r>
      <w:r w:rsidR="00B47531">
        <w:t>a</w:t>
      </w:r>
      <w:r w:rsidR="00C843B2">
        <w:t>ccessed March 12, 2026; “</w:t>
      </w:r>
      <w:r w:rsidR="00C843B2" w:rsidRPr="0077618A">
        <w:t>China</w:t>
      </w:r>
      <w:r w:rsidR="00A7144C">
        <w:t>’</w:t>
      </w:r>
      <w:r w:rsidR="00C843B2" w:rsidRPr="0077618A">
        <w:t xml:space="preserve">s </w:t>
      </w:r>
      <w:r w:rsidR="00C843B2">
        <w:t>H</w:t>
      </w:r>
      <w:r w:rsidR="00C843B2" w:rsidRPr="0077618A">
        <w:t xml:space="preserve">eavy </w:t>
      </w:r>
      <w:r w:rsidR="00C843B2">
        <w:t>R</w:t>
      </w:r>
      <w:r w:rsidR="00C843B2" w:rsidRPr="0077618A">
        <w:t xml:space="preserve">eliance on Iranian </w:t>
      </w:r>
      <w:r w:rsidR="00C843B2">
        <w:t>O</w:t>
      </w:r>
      <w:r w:rsidR="00C843B2" w:rsidRPr="0077618A">
        <w:t xml:space="preserve">il </w:t>
      </w:r>
      <w:r w:rsidR="00C843B2">
        <w:t>I</w:t>
      </w:r>
      <w:r w:rsidR="00C843B2" w:rsidRPr="0077618A">
        <w:t>mports</w:t>
      </w:r>
      <w:r w:rsidR="00C843B2">
        <w:t xml:space="preserve">,” </w:t>
      </w:r>
      <w:r w:rsidR="00C843B2" w:rsidRPr="00CE20B4">
        <w:rPr>
          <w:i/>
          <w:iCs/>
        </w:rPr>
        <w:t>Reuters</w:t>
      </w:r>
      <w:r w:rsidR="00C843B2">
        <w:t xml:space="preserve">, January 13, 2026. </w:t>
      </w:r>
      <w:hyperlink r:id="rId44" w:history="1">
        <w:r w:rsidR="00C843B2" w:rsidRPr="00540332">
          <w:rPr>
            <w:rStyle w:val="Hyperlink"/>
          </w:rPr>
          <w:t>https://www.reuters.com/business/energy/chinas-heavy-reliance-iranian-oil-imports-2026-01-13</w:t>
        </w:r>
      </w:hyperlink>
      <w:r w:rsidR="00C843B2">
        <w:t xml:space="preserve">. </w:t>
      </w:r>
    </w:p>
  </w:endnote>
  <w:endnote w:id="33">
    <w:p w14:paraId="1822BA7E" w14:textId="77777777" w:rsidR="00F33D0D" w:rsidRDefault="00F33D0D" w:rsidP="00021BBE">
      <w:pPr>
        <w:pStyle w:val="EndnoteText"/>
        <w:ind w:left="0" w:firstLine="0"/>
      </w:pPr>
      <w:r>
        <w:rPr>
          <w:rStyle w:val="EndnoteReference"/>
        </w:rPr>
        <w:endnoteRef/>
      </w:r>
      <w:r>
        <w:t xml:space="preserve"> Erica Downs, “</w:t>
      </w:r>
      <w:r w:rsidRPr="00C401CA">
        <w:t>Where China Gets Its Oil: Crude Imports in 2025 Reveal Stockpiling and Changing Fortunes of Certain Suppliers, Including Those Sanctioned</w:t>
      </w:r>
      <w:r>
        <w:t xml:space="preserve">,” </w:t>
      </w:r>
      <w:r w:rsidRPr="00C401CA">
        <w:rPr>
          <w:i/>
          <w:iCs/>
        </w:rPr>
        <w:t>Center on Global Energy Policy at Columbia</w:t>
      </w:r>
      <w:r>
        <w:t xml:space="preserve">, January 29, 2026. </w:t>
      </w:r>
      <w:hyperlink r:id="rId45" w:history="1">
        <w:r w:rsidRPr="002B3EFE">
          <w:rPr>
            <w:rStyle w:val="Hyperlink"/>
          </w:rPr>
          <w:t>https://www.energypolicy.columbia.edu/where-china-gets-its-oil-crude-imports-in-2025-reveal-stockpiling-and-changing-fortunes-of-certain-suppliers-including-those-sanctioned/</w:t>
        </w:r>
      </w:hyperlink>
      <w:r>
        <w:t xml:space="preserve">. </w:t>
      </w:r>
    </w:p>
  </w:endnote>
  <w:endnote w:id="34">
    <w:p w14:paraId="64AF3DCD" w14:textId="0170DBB9" w:rsidR="007C1706" w:rsidRDefault="007C1706" w:rsidP="00021BBE">
      <w:pPr>
        <w:pStyle w:val="EndnoteText"/>
        <w:ind w:left="0" w:firstLine="0"/>
      </w:pPr>
      <w:r>
        <w:rPr>
          <w:rStyle w:val="EndnoteReference"/>
        </w:rPr>
        <w:endnoteRef/>
      </w:r>
      <w:r>
        <w:t xml:space="preserve"> U.S.-China Economic and Security Review Commission, </w:t>
      </w:r>
      <w:r w:rsidRPr="0020141C">
        <w:rPr>
          <w:i/>
          <w:iCs/>
        </w:rPr>
        <w:t>2024 Annual Report to Congress</w:t>
      </w:r>
      <w:r>
        <w:t xml:space="preserve">, November 2024, 356. </w:t>
      </w:r>
    </w:p>
  </w:endnote>
  <w:endnote w:id="35">
    <w:p w14:paraId="2E5E36BC" w14:textId="162C21CB" w:rsidR="00F33D0D" w:rsidRDefault="00F33D0D" w:rsidP="00021BBE">
      <w:pPr>
        <w:pStyle w:val="EndnoteText"/>
        <w:ind w:left="0" w:firstLine="0"/>
      </w:pPr>
      <w:r>
        <w:rPr>
          <w:rStyle w:val="EndnoteReference"/>
        </w:rPr>
        <w:endnoteRef/>
      </w:r>
      <w:r>
        <w:t xml:space="preserve"> </w:t>
      </w:r>
      <w:r>
        <w:t>Paroma Soni and Catherine Allen, “</w:t>
      </w:r>
      <w:r w:rsidRPr="00DE655D">
        <w:t xml:space="preserve">5 </w:t>
      </w:r>
      <w:r>
        <w:t>C</w:t>
      </w:r>
      <w:r w:rsidRPr="00DE655D">
        <w:t xml:space="preserve">harts </w:t>
      </w:r>
      <w:r>
        <w:t>S</w:t>
      </w:r>
      <w:r w:rsidRPr="00DE655D">
        <w:t xml:space="preserve">how China’s </w:t>
      </w:r>
      <w:r>
        <w:t>O</w:t>
      </w:r>
      <w:r w:rsidRPr="00DE655D">
        <w:t xml:space="preserve">il </w:t>
      </w:r>
      <w:r>
        <w:t>D</w:t>
      </w:r>
      <w:r w:rsidRPr="00DE655D">
        <w:t xml:space="preserve">ilemma after US </w:t>
      </w:r>
      <w:r>
        <w:t>S</w:t>
      </w:r>
      <w:r w:rsidRPr="00DE655D">
        <w:t>trikes</w:t>
      </w:r>
      <w:r>
        <w:t xml:space="preserve">,” </w:t>
      </w:r>
      <w:r w:rsidRPr="00DE655D">
        <w:rPr>
          <w:i/>
          <w:iCs/>
        </w:rPr>
        <w:t>Politico</w:t>
      </w:r>
      <w:r>
        <w:t xml:space="preserve">, March 2, 2026. </w:t>
      </w:r>
      <w:hyperlink r:id="rId46" w:history="1">
        <w:r w:rsidRPr="002B3EFE">
          <w:rPr>
            <w:rStyle w:val="Hyperlink"/>
          </w:rPr>
          <w:t>https://www.politico.com/news/2026/03/02/iran-us-strikes-china-oil-supply-charts-00806415</w:t>
        </w:r>
      </w:hyperlink>
      <w:r>
        <w:t>; Erica Downs, “</w:t>
      </w:r>
      <w:r w:rsidRPr="00C401CA">
        <w:t>Where China Gets Its Oil: Crude Imports in 2025 Reveal Stockpiling and Changing Fortunes of Certain Suppliers, Including Those Sanctioned</w:t>
      </w:r>
      <w:r>
        <w:t xml:space="preserve">,” </w:t>
      </w:r>
      <w:r w:rsidRPr="00C401CA">
        <w:rPr>
          <w:i/>
          <w:iCs/>
        </w:rPr>
        <w:t>Center on Global Energy Policy at Columbia</w:t>
      </w:r>
      <w:r>
        <w:t xml:space="preserve">, January 29, 2026. </w:t>
      </w:r>
      <w:hyperlink r:id="rId47" w:history="1">
        <w:r w:rsidRPr="002B3EFE">
          <w:rPr>
            <w:rStyle w:val="Hyperlink"/>
          </w:rPr>
          <w:t>https://www.energypolicy.columbia.edu/where-china-gets-its-oil-crude-imports-in-2025-reveal-stockpiling-and-changing-fortunes-of-certain-suppliers-including-those-sanctioned/</w:t>
        </w:r>
      </w:hyperlink>
      <w:r>
        <w:t>.</w:t>
      </w:r>
    </w:p>
  </w:endnote>
  <w:endnote w:id="36">
    <w:p w14:paraId="15541002" w14:textId="38A77A72" w:rsidR="007C1706" w:rsidRDefault="007C1706" w:rsidP="00021BBE">
      <w:pPr>
        <w:pStyle w:val="EndnoteText"/>
        <w:ind w:left="0" w:firstLine="0"/>
      </w:pPr>
      <w:r>
        <w:rPr>
          <w:rStyle w:val="EndnoteReference"/>
        </w:rPr>
        <w:endnoteRef/>
      </w:r>
      <w:r>
        <w:t xml:space="preserve"> Erica Downs, “</w:t>
      </w:r>
      <w:r w:rsidRPr="00C401CA">
        <w:t>Where China Gets Its Oil: Crude Imports in 2025 Reveal Stockpiling and Changing Fortunes of Certain Suppliers, Including Those Sanctioned</w:t>
      </w:r>
      <w:r>
        <w:t xml:space="preserve">,” </w:t>
      </w:r>
      <w:r w:rsidRPr="00C401CA">
        <w:rPr>
          <w:i/>
          <w:iCs/>
        </w:rPr>
        <w:t>Center on Global Energy Policy at Columbia</w:t>
      </w:r>
      <w:r>
        <w:t xml:space="preserve">, January 29, 2026. </w:t>
      </w:r>
      <w:hyperlink r:id="rId48" w:history="1">
        <w:r w:rsidRPr="002B3EFE">
          <w:rPr>
            <w:rStyle w:val="Hyperlink"/>
          </w:rPr>
          <w:t>https://www.energypolicy.columbia.edu/where-china-gets-its-oil-crude-imports-in-2025-reveal-stockpiling-and-changing-fortunes-of-certain-suppliers-including-those-sanctioned/</w:t>
        </w:r>
      </w:hyperlink>
      <w:r>
        <w:t>.</w:t>
      </w:r>
    </w:p>
  </w:endnote>
  <w:endnote w:id="37">
    <w:p w14:paraId="231088CC" w14:textId="77777777" w:rsidR="00F33D0D" w:rsidRDefault="00F33D0D" w:rsidP="00021BBE">
      <w:pPr>
        <w:pStyle w:val="EndnoteText"/>
        <w:ind w:left="0" w:firstLine="0"/>
      </w:pPr>
      <w:r>
        <w:rPr>
          <w:rStyle w:val="EndnoteReference"/>
        </w:rPr>
        <w:endnoteRef/>
      </w:r>
      <w:r>
        <w:t xml:space="preserve"> U.S.-China Economic and Security Review Commission, </w:t>
      </w:r>
      <w:r w:rsidRPr="0020141C">
        <w:rPr>
          <w:i/>
          <w:iCs/>
        </w:rPr>
        <w:t>2024 Annual Report to Congress</w:t>
      </w:r>
      <w:r>
        <w:t xml:space="preserve">, November 2024, 475-476. </w:t>
      </w:r>
    </w:p>
  </w:endnote>
  <w:endnote w:id="38">
    <w:p w14:paraId="5EFF6C8C" w14:textId="598820A3" w:rsidR="00E360EC" w:rsidRDefault="00E360EC" w:rsidP="00021BBE">
      <w:pPr>
        <w:pStyle w:val="EndnoteText"/>
        <w:ind w:left="0" w:firstLine="0"/>
      </w:pPr>
      <w:r>
        <w:rPr>
          <w:rStyle w:val="EndnoteReference"/>
        </w:rPr>
        <w:endnoteRef/>
      </w:r>
      <w:r>
        <w:t xml:space="preserve"> “</w:t>
      </w:r>
      <w:r w:rsidRPr="005D15C6">
        <w:t>Sensitive Crude Off China Swells to Record as War Roils Market</w:t>
      </w:r>
      <w:r>
        <w:t xml:space="preserve">,” Bloomberg, March 9, 2026. </w:t>
      </w:r>
      <w:hyperlink r:id="rId49" w:history="1">
        <w:r w:rsidRPr="00FC01A0">
          <w:rPr>
            <w:rStyle w:val="Hyperlink"/>
          </w:rPr>
          <w:t>https://www.bloomberg.com/news/articles/2026-03-09/sensitive-crude-off-china-swells-to-record-as-war-roils-market</w:t>
        </w:r>
      </w:hyperlink>
      <w:r>
        <w:t>; Erica Downs, “</w:t>
      </w:r>
      <w:r w:rsidRPr="00C401CA">
        <w:t>Where China Gets Its Oil: Crude Imports in 2025 Reveal Stockpiling and Changing Fortunes of Certain Suppliers, Including Those Sanctioned</w:t>
      </w:r>
      <w:r>
        <w:t xml:space="preserve">,” </w:t>
      </w:r>
      <w:r w:rsidRPr="00C401CA">
        <w:rPr>
          <w:i/>
          <w:iCs/>
        </w:rPr>
        <w:t>Center on Global Energy Policy at Columbia</w:t>
      </w:r>
      <w:r>
        <w:t xml:space="preserve">, January 29, 2026. </w:t>
      </w:r>
      <w:hyperlink r:id="rId50" w:history="1">
        <w:r w:rsidRPr="002B3EFE">
          <w:rPr>
            <w:rStyle w:val="Hyperlink"/>
          </w:rPr>
          <w:t>https://www.energypolicy.columbia.edu/where-china-gets-its-oil-crude-imports-in-2025-reveal-stockpiling-and-changing-fortunes-of-certain-suppliers-including-those-sanctioned/</w:t>
        </w:r>
      </w:hyperlink>
      <w:r>
        <w:t xml:space="preserve">. </w:t>
      </w:r>
    </w:p>
  </w:endnote>
  <w:endnote w:id="39">
    <w:p w14:paraId="19E6B329" w14:textId="07DE0FE5" w:rsidR="00F33D0D" w:rsidRDefault="00F33D0D" w:rsidP="00021BBE">
      <w:pPr>
        <w:pStyle w:val="EndnoteText"/>
        <w:ind w:left="0" w:firstLine="0"/>
      </w:pPr>
      <w:r>
        <w:rPr>
          <w:rStyle w:val="EndnoteReference"/>
        </w:rPr>
        <w:endnoteRef/>
      </w:r>
      <w:r>
        <w:t xml:space="preserve"> </w:t>
      </w:r>
      <w:r w:rsidR="00652A4B">
        <w:t>“</w:t>
      </w:r>
      <w:r w:rsidR="00652A4B" w:rsidRPr="005D15C6">
        <w:t>Sensitive Crude Off China Swells to Record as War Roils Market</w:t>
      </w:r>
      <w:r w:rsidR="00652A4B">
        <w:t xml:space="preserve">,” Bloomberg, March 9, 2026. </w:t>
      </w:r>
      <w:hyperlink r:id="rId51" w:history="1">
        <w:r w:rsidR="00652A4B" w:rsidRPr="00FC01A0">
          <w:rPr>
            <w:rStyle w:val="Hyperlink"/>
          </w:rPr>
          <w:t>https://www.bloomberg.com/news/articles/2026-03-09/sensitive-crude-off-china-swells-to-record-as-war-roils-market</w:t>
        </w:r>
      </w:hyperlink>
      <w:r w:rsidR="00652A4B">
        <w:t xml:space="preserve">; </w:t>
      </w:r>
      <w:r>
        <w:t>Erica Downs, “</w:t>
      </w:r>
      <w:r w:rsidRPr="00C401CA">
        <w:t>Where China Gets Its Oil: Crude Imports in 2025 Reveal Stockpiling and Changing Fortunes of Certain Suppliers, Including Those Sanctioned</w:t>
      </w:r>
      <w:r>
        <w:t xml:space="preserve">,” </w:t>
      </w:r>
      <w:r w:rsidRPr="00C401CA">
        <w:rPr>
          <w:i/>
          <w:iCs/>
        </w:rPr>
        <w:t>Center on Global Energy Policy at Columbia</w:t>
      </w:r>
      <w:r>
        <w:t xml:space="preserve">, January 29, 2026. </w:t>
      </w:r>
      <w:hyperlink r:id="rId52" w:history="1">
        <w:r w:rsidRPr="002B3EFE">
          <w:rPr>
            <w:rStyle w:val="Hyperlink"/>
          </w:rPr>
          <w:t>https://www.energypolicy.columbia.edu/where-china-gets-its-oil-crude-imports-in-2025-reveal-stockpiling-and-changing-fortunes-of-certain-suppliers-including-those-sanctioned/</w:t>
        </w:r>
      </w:hyperlink>
      <w:r>
        <w:t xml:space="preserve">. </w:t>
      </w:r>
    </w:p>
  </w:endnote>
  <w:endnote w:id="40">
    <w:p w14:paraId="72C522A3" w14:textId="77777777" w:rsidR="00F33D0D" w:rsidRDefault="00F33D0D" w:rsidP="00021BBE">
      <w:pPr>
        <w:pStyle w:val="EndnoteText"/>
        <w:ind w:left="0" w:firstLine="0"/>
      </w:pPr>
      <w:r>
        <w:rPr>
          <w:rStyle w:val="EndnoteReference"/>
        </w:rPr>
        <w:endnoteRef/>
      </w:r>
      <w:r>
        <w:t xml:space="preserve"> </w:t>
      </w:r>
      <w:r>
        <w:t>Yongchang Chin and Alfred Cang, “</w:t>
      </w:r>
      <w:r w:rsidRPr="00DA6774">
        <w:t>China Tightens Fuel Export Curbs as Iran War Hits Oil Supply</w:t>
      </w:r>
      <w:r>
        <w:t xml:space="preserve">,” </w:t>
      </w:r>
      <w:r w:rsidRPr="00C56988">
        <w:rPr>
          <w:i/>
          <w:iCs/>
        </w:rPr>
        <w:t>Bloomberg</w:t>
      </w:r>
      <w:r>
        <w:t xml:space="preserve">, March 12, 2026. </w:t>
      </w:r>
      <w:hyperlink r:id="rId53" w:history="1">
        <w:r w:rsidRPr="00540332">
          <w:rPr>
            <w:rStyle w:val="Hyperlink"/>
          </w:rPr>
          <w:t>https://www.bloomberg.com/news/articles/2026-03-12/china-tightens-fuel-export-curbs-as-iran-war-hits-oil-supply</w:t>
        </w:r>
      </w:hyperlink>
      <w:r>
        <w:t xml:space="preserve">. </w:t>
      </w:r>
    </w:p>
  </w:endnote>
  <w:endnote w:id="41">
    <w:p w14:paraId="083D08C5" w14:textId="77777777" w:rsidR="00F33D0D" w:rsidRDefault="00F33D0D" w:rsidP="00021BBE">
      <w:pPr>
        <w:pStyle w:val="EndnoteText"/>
        <w:ind w:left="0" w:firstLine="0"/>
      </w:pPr>
      <w:r>
        <w:rPr>
          <w:rStyle w:val="EndnoteReference"/>
        </w:rPr>
        <w:endnoteRef/>
      </w:r>
      <w:r>
        <w:t xml:space="preserve"> Benoit </w:t>
      </w:r>
      <w:r>
        <w:t>Faucon and Costas Paris, “</w:t>
      </w:r>
      <w:r w:rsidRPr="00DA6774">
        <w:t>Iran’s Control of Hormuz Means It’s Exporting More Oil Today Than Before the War</w:t>
      </w:r>
      <w:r>
        <w:t xml:space="preserve">,” </w:t>
      </w:r>
      <w:r w:rsidRPr="00C56988">
        <w:rPr>
          <w:i/>
          <w:iCs/>
        </w:rPr>
        <w:t>Wall Street Journal</w:t>
      </w:r>
      <w:r>
        <w:t xml:space="preserve">, March 10, 2026. </w:t>
      </w:r>
      <w:hyperlink r:id="rId54" w:history="1">
        <w:r w:rsidRPr="00540332">
          <w:rPr>
            <w:rStyle w:val="Hyperlink"/>
          </w:rPr>
          <w:t>https://www.wsj.com/world/middle-east/irans-control-of-hormuz-means-its-exporting-more-oil-today-than-before-the-war-ede3cd91</w:t>
        </w:r>
      </w:hyperlink>
      <w:r>
        <w:t xml:space="preserve">. </w:t>
      </w:r>
    </w:p>
  </w:endnote>
  <w:endnote w:id="42">
    <w:p w14:paraId="6ECC7D3F" w14:textId="6D147BA3" w:rsidR="00F33D0D" w:rsidRDefault="00F33D0D" w:rsidP="00021BBE">
      <w:pPr>
        <w:pStyle w:val="EndnoteText"/>
        <w:ind w:left="0" w:firstLine="0"/>
      </w:pPr>
      <w:r>
        <w:rPr>
          <w:rStyle w:val="EndnoteReference"/>
        </w:rPr>
        <w:endnoteRef/>
      </w:r>
      <w:r>
        <w:t xml:space="preserve"> Agence France-Presse, “</w:t>
      </w:r>
      <w:r w:rsidRPr="005D15C6">
        <w:t>Ships brandish China links to evade Iran’s attacks in Strait of Hormuz</w:t>
      </w:r>
      <w:r>
        <w:t xml:space="preserve">,” South China Morning Post, March 10, 2026. </w:t>
      </w:r>
      <w:hyperlink r:id="rId55" w:history="1">
        <w:r w:rsidRPr="00FC01A0">
          <w:rPr>
            <w:rStyle w:val="Hyperlink"/>
          </w:rPr>
          <w:t>https://www.scmp.com/news/world/middle-east/article/3346021/ships-brandish-china-links-evade-irans-attacks-strait-hormuz</w:t>
        </w:r>
      </w:hyperlink>
      <w:r>
        <w:t xml:space="preserve">. </w:t>
      </w:r>
    </w:p>
  </w:endnote>
  <w:endnote w:id="43">
    <w:p w14:paraId="6FD9A094" w14:textId="45D805F0" w:rsidR="00F33D0D" w:rsidRDefault="00F33D0D" w:rsidP="00021BBE">
      <w:pPr>
        <w:pStyle w:val="EndnoteText"/>
        <w:ind w:left="0" w:firstLine="0"/>
      </w:pPr>
      <w:r>
        <w:rPr>
          <w:rStyle w:val="EndnoteReference"/>
        </w:rPr>
        <w:endnoteRef/>
      </w:r>
      <w:r>
        <w:t xml:space="preserve"> European Union’s Council of the European Union, </w:t>
      </w:r>
      <w:r>
        <w:rPr>
          <w:i/>
          <w:iCs/>
        </w:rPr>
        <w:t>EU Sanctions against Iran</w:t>
      </w:r>
      <w:r>
        <w:t xml:space="preserve">, accessed March 12, 2026. </w:t>
      </w:r>
      <w:hyperlink r:id="rId56" w:history="1">
        <w:r w:rsidRPr="00FC01A0">
          <w:rPr>
            <w:rStyle w:val="Hyperlink"/>
          </w:rPr>
          <w:t>https://www.consilium.europa.eu/en/policies/sanctions-against-iran</w:t>
        </w:r>
      </w:hyperlink>
      <w:r>
        <w:t xml:space="preserve">; </w:t>
      </w:r>
      <w:r w:rsidRPr="00501E8C">
        <w:t xml:space="preserve">Clayton Thomas, “U.S. Sanctions on Iran,” Congressional Research Service (Report No. IF12452), </w:t>
      </w:r>
      <w:r>
        <w:t>August 19, 2025</w:t>
      </w:r>
      <w:r w:rsidRPr="00501E8C">
        <w:t>. https://www.congress.gov/crs-product/IF12452.</w:t>
      </w:r>
    </w:p>
  </w:endnote>
  <w:endnote w:id="44">
    <w:p w14:paraId="2674DE7C" w14:textId="60C4DE4F" w:rsidR="00501E8C" w:rsidRDefault="00501E8C" w:rsidP="00021BBE">
      <w:pPr>
        <w:pStyle w:val="EndnoteText"/>
        <w:ind w:left="0" w:firstLine="0"/>
      </w:pPr>
      <w:r>
        <w:rPr>
          <w:rStyle w:val="EndnoteReference"/>
        </w:rPr>
        <w:endnoteRef/>
      </w:r>
      <w:r>
        <w:t xml:space="preserve"> </w:t>
      </w:r>
      <w:r w:rsidRPr="00501E8C">
        <w:t xml:space="preserve">U.S. Department of State, </w:t>
      </w:r>
      <w:r w:rsidRPr="00501E8C">
        <w:rPr>
          <w:i/>
          <w:iCs/>
        </w:rPr>
        <w:t>Completion of UN Sanctions Snapback on Iran</w:t>
      </w:r>
      <w:r w:rsidRPr="00501E8C">
        <w:t>, September 27, 2025.</w:t>
      </w:r>
    </w:p>
  </w:endnote>
  <w:endnote w:id="45">
    <w:p w14:paraId="16507F4C" w14:textId="0AA2CEC1" w:rsidR="00525B23" w:rsidRDefault="00525B23" w:rsidP="00021BBE">
      <w:pPr>
        <w:pStyle w:val="EndnoteText"/>
        <w:ind w:left="0" w:firstLine="0"/>
      </w:pPr>
      <w:r>
        <w:rPr>
          <w:rStyle w:val="EndnoteReference"/>
        </w:rPr>
        <w:endnoteRef/>
      </w:r>
      <w:r>
        <w:t xml:space="preserve"> Permanent Mission of the People’s Republic of China to the UN, </w:t>
      </w:r>
      <w:r w:rsidRPr="00C56988">
        <w:rPr>
          <w:i/>
          <w:iCs/>
        </w:rPr>
        <w:t xml:space="preserve">Explanation of Vote by Ambassador Fu Cong on the UN Security Council Draft Resolution on Continuing the Termination of Sanctions Measures </w:t>
      </w:r>
      <w:r w:rsidR="009B59E2" w:rsidRPr="00C56988">
        <w:rPr>
          <w:i/>
          <w:iCs/>
        </w:rPr>
        <w:t>a</w:t>
      </w:r>
      <w:r w:rsidRPr="00C56988">
        <w:rPr>
          <w:i/>
          <w:iCs/>
        </w:rPr>
        <w:t>gainst Iran</w:t>
      </w:r>
      <w:r>
        <w:t xml:space="preserve">, September 19, 2025. </w:t>
      </w:r>
      <w:hyperlink r:id="rId57" w:history="1">
        <w:r w:rsidRPr="002B3EFE">
          <w:rPr>
            <w:rStyle w:val="Hyperlink"/>
          </w:rPr>
          <w:t>https://web.archive.org/web/20260309213927/https://un.china-mission.gov.cn/eng/chinaandun/202510/t20251014_11732221.htm</w:t>
        </w:r>
      </w:hyperlink>
      <w:r>
        <w:t xml:space="preserve">.  </w:t>
      </w:r>
    </w:p>
  </w:endnote>
  <w:endnote w:id="46">
    <w:p w14:paraId="567453A4" w14:textId="77777777" w:rsidR="00F33D0D" w:rsidRDefault="00F33D0D" w:rsidP="00021BBE">
      <w:pPr>
        <w:pStyle w:val="EndnoteText"/>
        <w:ind w:left="0" w:firstLine="0"/>
      </w:pPr>
      <w:r>
        <w:rPr>
          <w:rStyle w:val="EndnoteReference"/>
        </w:rPr>
        <w:endnoteRef/>
      </w:r>
      <w:r>
        <w:t xml:space="preserve"> </w:t>
      </w:r>
      <w:r w:rsidRPr="00212F71">
        <w:t xml:space="preserve">Graham Ayres and Lyndi Tsering, “China’s Facilitation of Sanctions and Export Control Evasion,” </w:t>
      </w:r>
      <w:r w:rsidRPr="00CE20B4">
        <w:rPr>
          <w:i/>
          <w:iCs/>
        </w:rPr>
        <w:t>U.S.-China Economic and Security Review Commission</w:t>
      </w:r>
      <w:r w:rsidRPr="00212F71">
        <w:t>, November 14, 2025</w:t>
      </w:r>
      <w:r>
        <w:t>.</w:t>
      </w:r>
    </w:p>
  </w:endnote>
  <w:endnote w:id="47">
    <w:p w14:paraId="534D6FE1" w14:textId="77777777" w:rsidR="00F33D0D" w:rsidRDefault="00F33D0D" w:rsidP="00021BBE">
      <w:pPr>
        <w:pStyle w:val="EndnoteText"/>
        <w:ind w:left="0" w:firstLine="0"/>
      </w:pPr>
      <w:r>
        <w:rPr>
          <w:rStyle w:val="EndnoteReference"/>
        </w:rPr>
        <w:endnoteRef/>
      </w:r>
      <w:r>
        <w:t xml:space="preserve"> </w:t>
      </w:r>
      <w:r w:rsidRPr="00212F71">
        <w:t xml:space="preserve">Graham Ayres and Lyndi Tsering, “China’s Facilitation of Sanctions and Export Control Evasion,” </w:t>
      </w:r>
      <w:r w:rsidRPr="00CE20B4">
        <w:rPr>
          <w:i/>
          <w:iCs/>
        </w:rPr>
        <w:t>U.S.-China Economic and Security Review Commission</w:t>
      </w:r>
      <w:r w:rsidRPr="00212F71">
        <w:t>, November 14, 2025</w:t>
      </w:r>
      <w:r>
        <w:t>; “</w:t>
      </w:r>
      <w:r w:rsidRPr="00212F71">
        <w:t xml:space="preserve">Inside the </w:t>
      </w:r>
      <w:r>
        <w:t>S</w:t>
      </w:r>
      <w:r w:rsidRPr="00212F71">
        <w:t xml:space="preserve">ecret </w:t>
      </w:r>
      <w:r>
        <w:t>O</w:t>
      </w:r>
      <w:r w:rsidRPr="00212F71">
        <w:t xml:space="preserve">il </w:t>
      </w:r>
      <w:r>
        <w:t>T</w:t>
      </w:r>
      <w:r w:rsidRPr="00212F71">
        <w:t xml:space="preserve">rade that </w:t>
      </w:r>
      <w:r>
        <w:t>F</w:t>
      </w:r>
      <w:r w:rsidRPr="00212F71">
        <w:t xml:space="preserve">unds Iran’s </w:t>
      </w:r>
      <w:r>
        <w:t>W</w:t>
      </w:r>
      <w:r w:rsidRPr="00212F71">
        <w:t>ars</w:t>
      </w:r>
      <w:r>
        <w:t xml:space="preserve">,” </w:t>
      </w:r>
      <w:r w:rsidRPr="00C56988">
        <w:rPr>
          <w:i/>
          <w:iCs/>
        </w:rPr>
        <w:t>Economist</w:t>
      </w:r>
      <w:r>
        <w:t xml:space="preserve">, October 17, 2024. </w:t>
      </w:r>
      <w:hyperlink r:id="rId58" w:history="1">
        <w:r w:rsidRPr="00540332">
          <w:rPr>
            <w:rStyle w:val="Hyperlink"/>
          </w:rPr>
          <w:t>https://www.economist.com/finance-and-economics/2024/10/17/inside-the-secret-oil-trade-that-funds-irans-wars</w:t>
        </w:r>
      </w:hyperlink>
      <w:r>
        <w:t xml:space="preserve">. </w:t>
      </w:r>
    </w:p>
  </w:endnote>
  <w:endnote w:id="48">
    <w:p w14:paraId="785DA221" w14:textId="77777777" w:rsidR="00F33D0D" w:rsidRDefault="00F33D0D" w:rsidP="00021BBE">
      <w:pPr>
        <w:pStyle w:val="EndnoteText"/>
        <w:ind w:left="0" w:firstLine="0"/>
      </w:pPr>
      <w:r>
        <w:rPr>
          <w:rStyle w:val="EndnoteReference"/>
        </w:rPr>
        <w:endnoteRef/>
      </w:r>
      <w:r>
        <w:t xml:space="preserve"> </w:t>
      </w:r>
      <w:r w:rsidRPr="00212F71">
        <w:t xml:space="preserve">Graham Ayres and Lyndi Tsering, “China’s Facilitation of Sanctions and Export Control Evasion,” </w:t>
      </w:r>
      <w:r w:rsidRPr="00CE20B4">
        <w:rPr>
          <w:i/>
          <w:iCs/>
        </w:rPr>
        <w:t>U.S.-China Economic and Security Review Commission</w:t>
      </w:r>
      <w:r w:rsidRPr="00212F71">
        <w:t>, November 14, 2025</w:t>
      </w:r>
      <w:r>
        <w:t>.</w:t>
      </w:r>
    </w:p>
  </w:endnote>
  <w:endnote w:id="49">
    <w:p w14:paraId="66F7047A" w14:textId="47544D4B" w:rsidR="00F33D0D" w:rsidRDefault="00F33D0D" w:rsidP="00021BBE">
      <w:pPr>
        <w:pStyle w:val="EndnoteText"/>
        <w:ind w:left="0" w:firstLine="0"/>
      </w:pPr>
      <w:r>
        <w:rPr>
          <w:rStyle w:val="EndnoteReference"/>
        </w:rPr>
        <w:endnoteRef/>
      </w:r>
      <w:r>
        <w:t xml:space="preserve"> </w:t>
      </w:r>
      <w:r w:rsidR="007468BF" w:rsidRPr="00212F71">
        <w:t xml:space="preserve">Graham Ayres and Lyndi Tsering, “China’s Facilitation of Sanctions and Export Control Evasion,” </w:t>
      </w:r>
      <w:r w:rsidR="007468BF" w:rsidRPr="00CE20B4">
        <w:rPr>
          <w:i/>
          <w:iCs/>
        </w:rPr>
        <w:t>U.S.-China Economic and Security Review Commission</w:t>
      </w:r>
      <w:r w:rsidR="007468BF" w:rsidRPr="00212F71">
        <w:t>, November 14, 2025</w:t>
      </w:r>
      <w:r w:rsidR="007468BF">
        <w:t>, 13.</w:t>
      </w:r>
    </w:p>
  </w:endnote>
  <w:endnote w:id="50">
    <w:p w14:paraId="7F61273A" w14:textId="0826041A" w:rsidR="00F80081" w:rsidRDefault="00F80081" w:rsidP="00021BBE">
      <w:pPr>
        <w:pStyle w:val="EndnoteText"/>
        <w:ind w:left="0" w:firstLine="0"/>
      </w:pPr>
      <w:r>
        <w:rPr>
          <w:rStyle w:val="EndnoteReference"/>
        </w:rPr>
        <w:endnoteRef/>
      </w:r>
      <w:r>
        <w:t xml:space="preserve"> </w:t>
      </w:r>
      <w:r w:rsidRPr="00212F71">
        <w:t xml:space="preserve">Graham Ayres and Lyndi Tsering, “China’s Facilitation of Sanctions and Export Control Evasion,” </w:t>
      </w:r>
      <w:r w:rsidRPr="00CE20B4">
        <w:rPr>
          <w:i/>
          <w:iCs/>
        </w:rPr>
        <w:t>U.S.-China Economic and Security Review Commission</w:t>
      </w:r>
      <w:r w:rsidRPr="00212F71">
        <w:t>, November 14, 2025</w:t>
      </w:r>
      <w:r w:rsidR="00F84B34">
        <w:t>; “</w:t>
      </w:r>
      <w:r w:rsidR="00F84B34" w:rsidRPr="00212F71">
        <w:t xml:space="preserve">Inside the </w:t>
      </w:r>
      <w:r w:rsidR="00F84B34">
        <w:t>S</w:t>
      </w:r>
      <w:r w:rsidR="00F84B34" w:rsidRPr="00212F71">
        <w:t xml:space="preserve">ecret </w:t>
      </w:r>
      <w:r w:rsidR="00F84B34">
        <w:t>O</w:t>
      </w:r>
      <w:r w:rsidR="00F84B34" w:rsidRPr="00212F71">
        <w:t xml:space="preserve">il </w:t>
      </w:r>
      <w:r w:rsidR="00F84B34">
        <w:t>T</w:t>
      </w:r>
      <w:r w:rsidR="00F84B34" w:rsidRPr="00212F71">
        <w:t xml:space="preserve">rade </w:t>
      </w:r>
      <w:r w:rsidR="00CC30BB">
        <w:t>T</w:t>
      </w:r>
      <w:r w:rsidR="00F84B34" w:rsidRPr="00212F71">
        <w:t xml:space="preserve">hat </w:t>
      </w:r>
      <w:r w:rsidR="00F84B34">
        <w:t>F</w:t>
      </w:r>
      <w:r w:rsidR="00F84B34" w:rsidRPr="00212F71">
        <w:t xml:space="preserve">unds Iran’s </w:t>
      </w:r>
      <w:r w:rsidR="00F84B34">
        <w:t>W</w:t>
      </w:r>
      <w:r w:rsidR="00F84B34" w:rsidRPr="00212F71">
        <w:t>ars</w:t>
      </w:r>
      <w:r w:rsidR="00F84B34">
        <w:t xml:space="preserve">,” </w:t>
      </w:r>
      <w:r w:rsidR="00F84B34" w:rsidRPr="00CE20B4">
        <w:rPr>
          <w:i/>
          <w:iCs/>
        </w:rPr>
        <w:t>Economist</w:t>
      </w:r>
      <w:r w:rsidR="00F84B34">
        <w:t xml:space="preserve">, October 17, 2024. </w:t>
      </w:r>
      <w:hyperlink r:id="rId59" w:history="1">
        <w:r w:rsidR="00F84B34" w:rsidRPr="00540332">
          <w:rPr>
            <w:rStyle w:val="Hyperlink"/>
          </w:rPr>
          <w:t>https://www.economist.com/finance-and-economics/2024/10/17/inside-the-secret-oil-trade-that-funds-irans-wars</w:t>
        </w:r>
      </w:hyperlink>
      <w:r>
        <w:t>.</w:t>
      </w:r>
    </w:p>
  </w:endnote>
  <w:endnote w:id="51">
    <w:p w14:paraId="3B4BDEEB" w14:textId="46079233" w:rsidR="00E47C0F" w:rsidRDefault="00E47C0F" w:rsidP="00021BBE">
      <w:pPr>
        <w:pStyle w:val="EndnoteText"/>
        <w:ind w:left="0" w:firstLine="0"/>
      </w:pPr>
      <w:r>
        <w:rPr>
          <w:rStyle w:val="EndnoteReference"/>
        </w:rPr>
        <w:endnoteRef/>
      </w:r>
      <w:r>
        <w:t xml:space="preserve"> </w:t>
      </w:r>
      <w:r w:rsidRPr="00212F71">
        <w:t xml:space="preserve">Graham Ayres and Lyndi Tsering, “China’s Facilitation of Sanctions and Export Control Evasion,” </w:t>
      </w:r>
      <w:r w:rsidRPr="00CE20B4">
        <w:rPr>
          <w:i/>
          <w:iCs/>
        </w:rPr>
        <w:t>U.S.-China Economic and Security Review Commission</w:t>
      </w:r>
      <w:r w:rsidRPr="00212F71">
        <w:t>, November 14, 2025</w:t>
      </w:r>
      <w:r>
        <w:t xml:space="preserve">; </w:t>
      </w:r>
      <w:r w:rsidRPr="00E47C0F">
        <w:t xml:space="preserve">Kimberly Donovan, written testimony for U.S.-China Economic and Security Review Commission, </w:t>
      </w:r>
      <w:r w:rsidRPr="00C56988">
        <w:rPr>
          <w:i/>
          <w:iCs/>
        </w:rPr>
        <w:t>Hearing on An Axis of Autocracy? China’s Relations with Russia</w:t>
      </w:r>
      <w:r w:rsidRPr="00E47C0F">
        <w:t xml:space="preserve">, February 20, 2025, 7; U.S. Department of the Treasury, </w:t>
      </w:r>
      <w:r w:rsidRPr="00C56988">
        <w:rPr>
          <w:i/>
          <w:iCs/>
        </w:rPr>
        <w:t>Treasury Targets Shadow Banking Network Moving Billions for Iran’s Military</w:t>
      </w:r>
      <w:r w:rsidRPr="00E47C0F">
        <w:t xml:space="preserve">, June 25, 2024. </w:t>
      </w:r>
      <w:hyperlink r:id="rId60" w:history="1">
        <w:r w:rsidRPr="00540332">
          <w:rPr>
            <w:rStyle w:val="Hyperlink"/>
          </w:rPr>
          <w:t>https://home.treasury.gov/news/press-releases/jy2431</w:t>
        </w:r>
      </w:hyperlink>
      <w:r>
        <w:t xml:space="preserve">. </w:t>
      </w:r>
    </w:p>
  </w:endnote>
  <w:endnote w:id="52">
    <w:p w14:paraId="250A4906" w14:textId="01366493" w:rsidR="00F33D0D" w:rsidRDefault="00F33D0D" w:rsidP="00021BBE">
      <w:pPr>
        <w:pStyle w:val="EndnoteText"/>
        <w:ind w:left="0" w:firstLine="0"/>
      </w:pPr>
      <w:r>
        <w:rPr>
          <w:rStyle w:val="EndnoteReference"/>
        </w:rPr>
        <w:endnoteRef/>
      </w:r>
      <w:r>
        <w:t xml:space="preserve"> </w:t>
      </w:r>
      <w:r w:rsidRPr="00212F71">
        <w:t xml:space="preserve">Graham Ayres and Lyndi Tsering, “China’s Facilitation of Sanctions and Export Control Evasion,” </w:t>
      </w:r>
      <w:r w:rsidRPr="00CE20B4">
        <w:rPr>
          <w:i/>
          <w:iCs/>
        </w:rPr>
        <w:t>U.S.-China Economic and Security Review Commission</w:t>
      </w:r>
      <w:r w:rsidRPr="00212F71">
        <w:t>, November 14, 2025</w:t>
      </w:r>
      <w:r>
        <w:t xml:space="preserve">; </w:t>
      </w:r>
      <w:r w:rsidRPr="00E47C0F">
        <w:t xml:space="preserve">Kimberly Donovan, written testimony for U.S.-China Economic and Security Review Commission, Hearing on An Axis of Autocracy? China’s Relations with Russia, February 20, 2025, 7; U.S. Department of the Treasury, </w:t>
      </w:r>
      <w:r w:rsidRPr="001567F0">
        <w:rPr>
          <w:i/>
          <w:iCs/>
        </w:rPr>
        <w:t>Treasury Targets Shadow Banking Network Moving Billions for Iran’s Military</w:t>
      </w:r>
      <w:r w:rsidRPr="00E47C0F">
        <w:t xml:space="preserve">, June 25, 2024. </w:t>
      </w:r>
      <w:hyperlink r:id="rId61" w:history="1">
        <w:r w:rsidRPr="00540332">
          <w:rPr>
            <w:rStyle w:val="Hyperlink"/>
          </w:rPr>
          <w:t>https://home.treasury.gov/news/press-releases/jy2431</w:t>
        </w:r>
      </w:hyperlink>
      <w:r w:rsidR="00880656">
        <w:t xml:space="preserve">; U.S. Department of the Treasury, </w:t>
      </w:r>
      <w:r w:rsidR="00880656" w:rsidRPr="00880656">
        <w:t>Treasury Targets Shadow Banking Network Moving Billions for Iran’s Military</w:t>
      </w:r>
      <w:r w:rsidR="00880656">
        <w:t xml:space="preserve">, June 25, 2024. </w:t>
      </w:r>
      <w:r w:rsidR="00880656" w:rsidRPr="00880656">
        <w:t>https://home.treasury.gov/news/press-releases/jy2431</w:t>
      </w:r>
      <w:r>
        <w:t xml:space="preserve">. </w:t>
      </w:r>
    </w:p>
  </w:endnote>
  <w:endnote w:id="53">
    <w:p w14:paraId="19DE8926" w14:textId="2C561B46" w:rsidR="00F33D0D" w:rsidRDefault="00F33D0D" w:rsidP="00021BBE">
      <w:pPr>
        <w:pStyle w:val="EndnoteText"/>
        <w:ind w:left="0" w:firstLine="0"/>
      </w:pPr>
      <w:r>
        <w:rPr>
          <w:rStyle w:val="EndnoteReference"/>
        </w:rPr>
        <w:endnoteRef/>
      </w:r>
      <w:r>
        <w:t xml:space="preserve"> </w:t>
      </w:r>
      <w:r w:rsidR="004169D3">
        <w:t xml:space="preserve">U.S. Department of the Treasury, </w:t>
      </w:r>
      <w:r w:rsidR="004169D3" w:rsidRPr="00C56988">
        <w:rPr>
          <w:i/>
          <w:iCs/>
        </w:rPr>
        <w:t>Treasury Targets Iran’s Shadow Fleet, Networks Supplying Ballistic Missile and ACW Programs</w:t>
      </w:r>
      <w:r w:rsidR="004169D3">
        <w:t xml:space="preserve">, February 25, 2026. </w:t>
      </w:r>
      <w:hyperlink r:id="rId62" w:history="1">
        <w:r w:rsidR="004169D3" w:rsidRPr="003552F5">
          <w:rPr>
            <w:rStyle w:val="Hyperlink"/>
          </w:rPr>
          <w:t>https://home.treasury.gov/news/press-releases/sb0405</w:t>
        </w:r>
      </w:hyperlink>
      <w:r w:rsidR="004169D3">
        <w:t xml:space="preserve">; </w:t>
      </w:r>
      <w:r w:rsidRPr="009D7BE8">
        <w:t xml:space="preserve">U.S. Department of the Treasury, Financial Crimes Enforcement Network, </w:t>
      </w:r>
      <w:r w:rsidRPr="00C56988">
        <w:rPr>
          <w:i/>
          <w:iCs/>
        </w:rPr>
        <w:t>FinCEN Issues Advisory on Iran-Backed Terrorist Organizations</w:t>
      </w:r>
      <w:r w:rsidRPr="009D7BE8">
        <w:t>, May 8, 2024. https://www.fincen.gov/news/news-releases/fincen-issues-advisory-iran-backed-terrorist-organizations; U.S. Department of the Treasury, Treasury Sanctions Iran’s Central Bank and National Development Fund, September 20, 2019. https://home.treasury.gov/news/press-releases/sm780.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Pro Display">
    <w:charset w:val="00"/>
    <w:family w:val="swiss"/>
    <w:pitch w:val="variable"/>
    <w:sig w:usb0="A00002A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Banner">
    <w:panose1 w:val="00000000000000000000"/>
    <w:charset w:val="00"/>
    <w:family w:val="auto"/>
    <w:pitch w:val="variable"/>
    <w:sig w:usb0="A00002EF" w:usb1="4000204B" w:usb2="00000000" w:usb3="00000000" w:csb0="0000019F" w:csb1="00000000"/>
  </w:font>
  <w:font w:name="Lato">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tka Display">
    <w:panose1 w:val="00000000000000000000"/>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Sitka Text">
    <w:panose1 w:val="00000000000000000000"/>
    <w:charset w:val="00"/>
    <w:family w:val="auto"/>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tka Display Semibold">
    <w:panose1 w:val="00000000000000000000"/>
    <w:charset w:val="00"/>
    <w:family w:val="auto"/>
    <w:pitch w:val="variable"/>
    <w:sig w:usb0="A00002EF" w:usb1="4000204B"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Gill Sans">
    <w:altName w:val="Segoe UI"/>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8" w:space="0" w:color="auto"/>
      </w:tblBorders>
      <w:tblLook w:val="04A0" w:firstRow="1" w:lastRow="0" w:firstColumn="1" w:lastColumn="0" w:noHBand="0" w:noVBand="1"/>
    </w:tblPr>
    <w:tblGrid>
      <w:gridCol w:w="1560"/>
      <w:gridCol w:w="8146"/>
      <w:gridCol w:w="374"/>
    </w:tblGrid>
    <w:tr w:rsidR="003B416E" w:rsidRPr="002B74EE" w14:paraId="51D89E0F" w14:textId="77777777" w:rsidTr="005C66B3">
      <w:tc>
        <w:tcPr>
          <w:tcW w:w="1550" w:type="dxa"/>
          <w:noWrap/>
          <w:tcMar>
            <w:top w:w="58" w:type="dxa"/>
            <w:left w:w="0" w:type="dxa"/>
            <w:right w:w="0" w:type="dxa"/>
          </w:tcMar>
          <w:vAlign w:val="bottom"/>
        </w:tcPr>
        <w:p w14:paraId="4AC60175" w14:textId="77777777" w:rsidR="003B416E" w:rsidRPr="0016174E" w:rsidRDefault="003B416E" w:rsidP="002B74EE">
          <w:pPr>
            <w:pStyle w:val="FooterUSCC"/>
          </w:pPr>
          <w:r w:rsidRPr="0016174E">
            <w:t>USCC.gov</w:t>
          </w:r>
        </w:p>
      </w:tc>
      <w:tc>
        <w:tcPr>
          <w:tcW w:w="8170" w:type="dxa"/>
          <w:noWrap/>
          <w:tcMar>
            <w:top w:w="58" w:type="dxa"/>
            <w:left w:w="0" w:type="dxa"/>
            <w:right w:w="144" w:type="dxa"/>
          </w:tcMar>
          <w:vAlign w:val="bottom"/>
        </w:tcPr>
        <w:p w14:paraId="2932BE98" w14:textId="77777777" w:rsidR="003B416E" w:rsidRPr="002B74EE" w:rsidRDefault="003B416E" w:rsidP="002B74EE">
          <w:pPr>
            <w:pStyle w:val="Footer"/>
          </w:pPr>
          <w:r w:rsidRPr="002B74EE">
            <w:t>U.S.-China Economic and Security Review Commission</w:t>
          </w:r>
          <w:r w:rsidR="0000768F">
            <w:rPr>
              <w:rFonts w:cs="Segoe UI Semibold"/>
            </w:rPr>
            <w:t xml:space="preserve">        |</w:t>
          </w:r>
        </w:p>
      </w:tc>
      <w:tc>
        <w:tcPr>
          <w:tcW w:w="360" w:type="dxa"/>
          <w:noWrap/>
          <w:tcMar>
            <w:top w:w="58" w:type="dxa"/>
            <w:left w:w="0" w:type="dxa"/>
            <w:right w:w="0" w:type="dxa"/>
          </w:tcMar>
          <w:vAlign w:val="bottom"/>
        </w:tcPr>
        <w:p w14:paraId="1AC6A5F0" w14:textId="77777777" w:rsidR="003B416E" w:rsidRPr="002B74EE" w:rsidRDefault="003B416E" w:rsidP="0016174E">
          <w:pPr>
            <w:pStyle w:val="Footer"/>
            <w:rPr>
              <w:rStyle w:val="PageNumber"/>
            </w:rPr>
          </w:pPr>
          <w:r w:rsidRPr="002B74EE">
            <w:rPr>
              <w:rStyle w:val="PageNumber"/>
            </w:rPr>
            <w:fldChar w:fldCharType="begin"/>
          </w:r>
          <w:r w:rsidRPr="002B74EE">
            <w:rPr>
              <w:rStyle w:val="PageNumber"/>
            </w:rPr>
            <w:instrText xml:space="preserve"> PAGE   \* MERGEFORMAT </w:instrText>
          </w:r>
          <w:r w:rsidRPr="002B74EE">
            <w:rPr>
              <w:rStyle w:val="PageNumber"/>
            </w:rPr>
            <w:fldChar w:fldCharType="separate"/>
          </w:r>
          <w:r w:rsidRPr="002B74EE">
            <w:rPr>
              <w:rStyle w:val="PageNumber"/>
            </w:rPr>
            <w:t>1</w:t>
          </w:r>
          <w:r w:rsidRPr="002B74EE">
            <w:rPr>
              <w:rStyle w:val="PageNumber"/>
            </w:rPr>
            <w:fldChar w:fldCharType="end"/>
          </w:r>
        </w:p>
      </w:tc>
    </w:tr>
  </w:tbl>
  <w:p w14:paraId="7E34964A" w14:textId="77777777" w:rsidR="003B416E" w:rsidRDefault="003B416E" w:rsidP="00E81BE5">
    <w:pPr>
      <w:pStyle w:val="Footer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8" w:space="0" w:color="auto"/>
      </w:tblBorders>
      <w:tblCellMar>
        <w:top w:w="58" w:type="dxa"/>
      </w:tblCellMar>
      <w:tblLook w:val="04A0" w:firstRow="1" w:lastRow="0" w:firstColumn="1" w:lastColumn="0" w:noHBand="0" w:noVBand="1"/>
    </w:tblPr>
    <w:tblGrid>
      <w:gridCol w:w="1560"/>
      <w:gridCol w:w="8146"/>
      <w:gridCol w:w="374"/>
    </w:tblGrid>
    <w:tr w:rsidR="00D831D1" w14:paraId="32B916C7" w14:textId="77777777" w:rsidTr="00461B90">
      <w:tc>
        <w:tcPr>
          <w:tcW w:w="1550" w:type="dxa"/>
          <w:noWrap/>
          <w:tcMar>
            <w:left w:w="0" w:type="dxa"/>
            <w:right w:w="0" w:type="dxa"/>
          </w:tcMar>
          <w:vAlign w:val="bottom"/>
        </w:tcPr>
        <w:p w14:paraId="27CFB049" w14:textId="77777777" w:rsidR="00D831D1" w:rsidRPr="0016174E" w:rsidRDefault="00D831D1" w:rsidP="002B74EE">
          <w:pPr>
            <w:pStyle w:val="FooterUSCC"/>
          </w:pPr>
          <w:r w:rsidRPr="00F009A3">
            <w:t>USCC.gov</w:t>
          </w:r>
        </w:p>
      </w:tc>
      <w:tc>
        <w:tcPr>
          <w:tcW w:w="8170" w:type="dxa"/>
          <w:noWrap/>
          <w:tcMar>
            <w:left w:w="0" w:type="dxa"/>
            <w:right w:w="144" w:type="dxa"/>
          </w:tcMar>
          <w:vAlign w:val="bottom"/>
        </w:tcPr>
        <w:p w14:paraId="65AAB0FE" w14:textId="77777777" w:rsidR="00D831D1" w:rsidRPr="002B74EE" w:rsidRDefault="00D831D1" w:rsidP="0016174E">
          <w:pPr>
            <w:pStyle w:val="Footer"/>
            <w:rPr>
              <w:rFonts w:cs="Segoe UI Semibold"/>
            </w:rPr>
          </w:pPr>
          <w:r w:rsidRPr="002B74EE">
            <w:rPr>
              <w:rFonts w:cs="Segoe UI Semibold"/>
            </w:rPr>
            <w:t>U.S.-China Economic and Security Review Commission</w:t>
          </w:r>
          <w:r w:rsidR="0000768F">
            <w:rPr>
              <w:rFonts w:cs="Segoe UI Semibold"/>
            </w:rPr>
            <w:t xml:space="preserve">        |</w:t>
          </w:r>
        </w:p>
      </w:tc>
      <w:tc>
        <w:tcPr>
          <w:tcW w:w="360" w:type="dxa"/>
          <w:noWrap/>
          <w:tcMar>
            <w:left w:w="0" w:type="dxa"/>
            <w:right w:w="0" w:type="dxa"/>
          </w:tcMar>
          <w:vAlign w:val="bottom"/>
        </w:tcPr>
        <w:p w14:paraId="6054DD42" w14:textId="77777777" w:rsidR="00D831D1" w:rsidRPr="002B74EE" w:rsidRDefault="00D831D1" w:rsidP="002B74EE">
          <w:pPr>
            <w:pStyle w:val="Footer"/>
            <w:rPr>
              <w:rStyle w:val="PageNumber"/>
            </w:rPr>
          </w:pPr>
          <w:r w:rsidRPr="002B74EE">
            <w:rPr>
              <w:rStyle w:val="PageNumber"/>
            </w:rPr>
            <w:fldChar w:fldCharType="begin"/>
          </w:r>
          <w:r w:rsidRPr="002B74EE">
            <w:rPr>
              <w:rStyle w:val="PageNumber"/>
            </w:rPr>
            <w:instrText xml:space="preserve"> PAGE   \* MERGEFORMAT </w:instrText>
          </w:r>
          <w:r w:rsidRPr="002B74EE">
            <w:rPr>
              <w:rStyle w:val="PageNumber"/>
            </w:rPr>
            <w:fldChar w:fldCharType="separate"/>
          </w:r>
          <w:r w:rsidRPr="002B74EE">
            <w:rPr>
              <w:rStyle w:val="PageNumber"/>
            </w:rPr>
            <w:t>1</w:t>
          </w:r>
          <w:r w:rsidRPr="002B74EE">
            <w:rPr>
              <w:rStyle w:val="PageNumber"/>
            </w:rPr>
            <w:fldChar w:fldCharType="end"/>
          </w:r>
        </w:p>
      </w:tc>
    </w:tr>
  </w:tbl>
  <w:p w14:paraId="01AB960E" w14:textId="77777777" w:rsidR="00D831D1" w:rsidRPr="00D07A7D" w:rsidRDefault="00D831D1" w:rsidP="00D07A7D">
    <w:pPr>
      <w:pStyle w:val="Foot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FC6F5" w14:textId="77777777" w:rsidR="00F572CE" w:rsidRPr="00CB44FC" w:rsidRDefault="00F572CE" w:rsidP="00CB44FC">
      <w:pPr>
        <w:pStyle w:val="FootnoteText"/>
      </w:pPr>
    </w:p>
  </w:footnote>
  <w:footnote w:type="continuationSeparator" w:id="0">
    <w:p w14:paraId="5FFAB7D6" w14:textId="77777777" w:rsidR="00F572CE" w:rsidRDefault="00F572CE" w:rsidP="001B02B9">
      <w:pPr>
        <w:pStyle w:val="FootnoteText"/>
      </w:pPr>
    </w:p>
  </w:footnote>
  <w:footnote w:type="continuationNotice" w:id="1">
    <w:p w14:paraId="26814ED1" w14:textId="77777777" w:rsidR="00F572CE" w:rsidRDefault="00F572CE" w:rsidP="001B02B9">
      <w:pPr>
        <w:pStyle w:val="FootnoteText"/>
      </w:pPr>
    </w:p>
  </w:footnote>
  <w:footnote w:id="2">
    <w:p w14:paraId="383AD328" w14:textId="44B92253" w:rsidR="007059D8" w:rsidRDefault="007059D8" w:rsidP="00021BBE">
      <w:pPr>
        <w:pStyle w:val="FootnoteText"/>
        <w:ind w:left="0" w:firstLine="0"/>
      </w:pPr>
      <w:r>
        <w:rPr>
          <w:rStyle w:val="FootnoteReference"/>
        </w:rPr>
        <w:footnoteRef/>
      </w:r>
      <w:r>
        <w:t xml:space="preserve"> This figure assumes an average discount of $9 per barrel below the 2025 global benchmark average $69 per barrel on an estimated 520 million barrels of crude oil exported from Iran to China in 2025.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F9CA" w14:textId="77777777" w:rsidR="003B416E" w:rsidRDefault="003B416E" w:rsidP="003B416E">
    <w:pPr>
      <w:pStyle w:val="Header"/>
    </w:pPr>
  </w:p>
  <w:p w14:paraId="581E9665" w14:textId="77777777" w:rsidR="003B416E" w:rsidRDefault="003B41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D1C7C" w14:textId="77777777" w:rsidR="003B416E" w:rsidRDefault="00E81BE5">
    <w:pPr>
      <w:pStyle w:val="Header"/>
    </w:pPr>
    <w:r w:rsidRPr="001B6246">
      <w:rPr>
        <w:noProof/>
      </w:rPr>
      <mc:AlternateContent>
        <mc:Choice Requires="wpg">
          <w:drawing>
            <wp:anchor distT="0" distB="0" distL="114300" distR="114300" simplePos="0" relativeHeight="251657216" behindDoc="0" locked="0" layoutInCell="1" allowOverlap="1" wp14:anchorId="66474A6B" wp14:editId="57FEDF15">
              <wp:simplePos x="0" y="0"/>
              <wp:positionH relativeFrom="column">
                <wp:posOffset>4800600</wp:posOffset>
              </wp:positionH>
              <wp:positionV relativeFrom="paragraph">
                <wp:posOffset>-457200</wp:posOffset>
              </wp:positionV>
              <wp:extent cx="1600200" cy="802725"/>
              <wp:effectExtent l="0" t="0" r="0" b="0"/>
              <wp:wrapNone/>
              <wp:docPr id="1019663836" name="Group 5"/>
              <wp:cNvGraphicFramePr/>
              <a:graphic xmlns:a="http://schemas.openxmlformats.org/drawingml/2006/main">
                <a:graphicData uri="http://schemas.microsoft.com/office/word/2010/wordprocessingGroup">
                  <wpg:wgp>
                    <wpg:cNvGrpSpPr/>
                    <wpg:grpSpPr>
                      <a:xfrm>
                        <a:off x="0" y="0"/>
                        <a:ext cx="1600200" cy="802725"/>
                        <a:chOff x="0" y="0"/>
                        <a:chExt cx="1600200" cy="802725"/>
                      </a:xfrm>
                    </wpg:grpSpPr>
                    <wps:wsp>
                      <wps:cNvPr id="370848838" name="Rectangle 3"/>
                      <wps:cNvSpPr/>
                      <wps:spPr>
                        <a:xfrm>
                          <a:off x="0" y="683537"/>
                          <a:ext cx="1600200" cy="119188"/>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152539" name="Text Box 4">
                        <a:extLst>
                          <a:ext uri="{C183D7F6-B498-43B3-948B-1728B52AA6E4}">
                            <adec:decorative xmlns:adec="http://schemas.microsoft.com/office/drawing/2017/decorative" val="1"/>
                          </a:ext>
                        </a:extLst>
                      </wps:cNvPr>
                      <wps:cNvSpPr txBox="1"/>
                      <wps:spPr>
                        <a:xfrm>
                          <a:off x="0" y="0"/>
                          <a:ext cx="1600200" cy="687625"/>
                        </a:xfrm>
                        <a:prstGeom prst="rect">
                          <a:avLst/>
                        </a:prstGeom>
                        <a:solidFill>
                          <a:schemeClr val="tx2"/>
                        </a:solidFill>
                        <a:ln w="6350">
                          <a:noFill/>
                        </a:ln>
                      </wps:spPr>
                      <wps:txbx>
                        <w:txbxContent>
                          <w:p w14:paraId="145710A1" w14:textId="1E37FA3F" w:rsidR="003B416E" w:rsidRDefault="00970D99" w:rsidP="003B416E">
                            <w:pPr>
                              <w:pStyle w:val="IssueBrief"/>
                            </w:pPr>
                            <w:r>
                              <w:t>Fact</w:t>
                            </w:r>
                            <w:r w:rsidR="003B416E">
                              <w:t xml:space="preserve"> </w:t>
                            </w:r>
                            <w:r>
                              <w:t>SHEET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anchor>
          </w:drawing>
        </mc:Choice>
        <mc:Fallback>
          <w:pict>
            <v:group w14:anchorId="66474A6B" id="Group 5" o:spid="_x0000_s1028" style="position:absolute;margin-left:378pt;margin-top:-36pt;width:126pt;height:63.2pt;z-index:251657216" coordsize="16002,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">
              <v:rect id="Rectangle 3" o:spid="_x0000_s1029" style="position:absolute;top:6835;width:16002;height: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" fillcolor="#374457 [3205]" stroked="f" strokeweight="1.5pt"/>
              <v:shapetype id="_x0000_t202" coordsize="21600,21600" o:spt="202" path="m,l,21600r21600,l21600,xe">
                <v:stroke joinstyle="miter"/>
                <v:path gradientshapeok="t" o:connecttype="rect"/>
              </v:shapetype>
              <v:shape id="_x0000_s1030" type="#_x0000_t202" alt="&quot;&quot;" style="position:absolute;width:16002;height:68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" fillcolor="#005395 [3215]" stroked="f" strokeweight=".5pt">
                <v:textbox>
                  <w:txbxContent>
                    <w:p w14:paraId="145710A1" w14:textId="1E37FA3F" w:rsidR="003B416E" w:rsidRDefault="00970D99" w:rsidP="003B416E">
                      <w:pPr>
                        <w:pStyle w:val="IssueBrief"/>
                      </w:pPr>
                      <w:r>
                        <w:t>Fact</w:t>
                      </w:r>
                      <w:r w:rsidR="003B416E">
                        <w:t xml:space="preserve"> </w:t>
                      </w:r>
                      <w:r>
                        <w:t>SHEET</w:t>
                      </w:r>
                    </w:p>
                  </w:txbxContent>
                </v:textbox>
              </v:shape>
            </v:group>
          </w:pict>
        </mc:Fallback>
      </mc:AlternateContent>
    </w:r>
    <w:r w:rsidR="003B416E" w:rsidRPr="001B6246">
      <w:rPr>
        <w:noProof/>
      </w:rPr>
      <w:drawing>
        <wp:anchor distT="0" distB="0" distL="114300" distR="114300" simplePos="0" relativeHeight="251653120" behindDoc="0" locked="0" layoutInCell="1" allowOverlap="1" wp14:anchorId="67C11E44" wp14:editId="76B2F748">
          <wp:simplePos x="0" y="0"/>
          <wp:positionH relativeFrom="margin">
            <wp:align>left</wp:align>
          </wp:positionH>
          <wp:positionV relativeFrom="page">
            <wp:posOffset>228600</wp:posOffset>
          </wp:positionV>
          <wp:extent cx="1371600" cy="1371600"/>
          <wp:effectExtent l="0" t="0" r="0" b="0"/>
          <wp:wrapNone/>
          <wp:docPr id="3383780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36988"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3B416E" w:rsidRPr="001B6246">
      <w:rPr>
        <w:noProof/>
      </w:rPr>
      <w:drawing>
        <wp:anchor distT="0" distB="0" distL="114300" distR="114300" simplePos="0" relativeHeight="251652096" behindDoc="1" locked="0" layoutInCell="1" allowOverlap="1" wp14:anchorId="4AC58A87" wp14:editId="1760432C">
          <wp:simplePos x="0" y="0"/>
          <wp:positionH relativeFrom="page">
            <wp:align>left</wp:align>
          </wp:positionH>
          <wp:positionV relativeFrom="page">
            <wp:align>top</wp:align>
          </wp:positionV>
          <wp:extent cx="7808976" cy="1837944"/>
          <wp:effectExtent l="0" t="0" r="1905" b="0"/>
          <wp:wrapNone/>
          <wp:docPr id="16835856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18303"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808976" cy="183794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497B" w14:textId="77777777" w:rsidR="00874A78" w:rsidRDefault="00874A78" w:rsidP="003B416E">
    <w:pPr>
      <w:pStyle w:val="Header"/>
    </w:pPr>
    <w:r w:rsidRPr="001B6246">
      <w:rPr>
        <w:noProof/>
      </w:rPr>
      <mc:AlternateContent>
        <mc:Choice Requires="wpg">
          <w:drawing>
            <wp:anchor distT="0" distB="0" distL="114300" distR="114300" simplePos="0" relativeHeight="251669504" behindDoc="0" locked="0" layoutInCell="1" allowOverlap="1" wp14:anchorId="6C0724A4" wp14:editId="69159F16">
              <wp:simplePos x="0" y="0"/>
              <wp:positionH relativeFrom="column">
                <wp:posOffset>4800600</wp:posOffset>
              </wp:positionH>
              <wp:positionV relativeFrom="page">
                <wp:posOffset>0</wp:posOffset>
              </wp:positionV>
              <wp:extent cx="1600200" cy="804672"/>
              <wp:effectExtent l="0" t="0" r="0" b="0"/>
              <wp:wrapNone/>
              <wp:docPr id="1543363424" name="Group 7"/>
              <wp:cNvGraphicFramePr/>
              <a:graphic xmlns:a="http://schemas.openxmlformats.org/drawingml/2006/main">
                <a:graphicData uri="http://schemas.microsoft.com/office/word/2010/wordprocessingGroup">
                  <wpg:wgp>
                    <wpg:cNvGrpSpPr/>
                    <wpg:grpSpPr>
                      <a:xfrm>
                        <a:off x="0" y="0"/>
                        <a:ext cx="1600200" cy="804672"/>
                        <a:chOff x="0" y="0"/>
                        <a:chExt cx="1600200" cy="800259"/>
                      </a:xfrm>
                    </wpg:grpSpPr>
                    <wps:wsp>
                      <wps:cNvPr id="508477466" name="Text Box 4"/>
                      <wps:cNvSpPr txBox="1"/>
                      <wps:spPr>
                        <a:xfrm>
                          <a:off x="0" y="0"/>
                          <a:ext cx="1600200" cy="683877"/>
                        </a:xfrm>
                        <a:prstGeom prst="rect">
                          <a:avLst/>
                        </a:prstGeom>
                        <a:solidFill>
                          <a:schemeClr val="tx2"/>
                        </a:solidFill>
                        <a:ln w="6350">
                          <a:noFill/>
                        </a:ln>
                      </wps:spPr>
                      <wps:txbx>
                        <w:txbxContent>
                          <w:p w14:paraId="456577C3" w14:textId="1F5CFA82" w:rsidR="00874A78" w:rsidRDefault="00021BBE" w:rsidP="002A28C7">
                            <w:pPr>
                              <w:pStyle w:val="IssueBrief"/>
                            </w:pPr>
                            <w:r>
                              <w:t>FACT SHEET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53398633" name="Rectangle 3"/>
                      <wps:cNvSpPr/>
                      <wps:spPr>
                        <a:xfrm>
                          <a:off x="0" y="681387"/>
                          <a:ext cx="1600200" cy="118872"/>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0724A4" id="Group 7" o:spid="_x0000_s1031" style="position:absolute;margin-left:378pt;margin-top:0;width:126pt;height:63.35pt;z-index:251669504;mso-position-vertical-relative:page;mso-height-relative:margin" coordsize="16002,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">
              <v:shapetype id="_x0000_t202" coordsize="21600,21600" o:spt="202" path="m,l,21600r21600,l21600,xe">
                <v:stroke joinstyle="miter"/>
                <v:path gradientshapeok="t" o:connecttype="rect"/>
              </v:shapetype>
              <v:shape id="_x0000_s1032" type="#_x0000_t202" style="position:absolute;width:16002;height:68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" fillcolor="#005395 [3215]" stroked="f" strokeweight=".5pt">
                <v:textbox>
                  <w:txbxContent>
                    <w:p w14:paraId="456577C3" w14:textId="1F5CFA82" w:rsidR="00874A78" w:rsidRDefault="00021BBE" w:rsidP="002A28C7">
                      <w:pPr>
                        <w:pStyle w:val="IssueBrief"/>
                      </w:pPr>
                      <w:r>
                        <w:t>FACT SHEET</w:t>
                      </w:r>
                    </w:p>
                  </w:txbxContent>
                </v:textbox>
              </v:shape>
              <v:rect id="Rectangle 3" o:spid="_x0000_s1033" style="position:absolute;top:6813;width:16002;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" fillcolor="#374457 [3205]" stroked="f" strokeweight="1.5pt"/>
              <w10:wrap anchory="page"/>
            </v:group>
          </w:pict>
        </mc:Fallback>
      </mc:AlternateContent>
    </w:r>
  </w:p>
  <w:p w14:paraId="65FFE51F" w14:textId="77777777" w:rsidR="00874A78" w:rsidRDefault="00874A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A6F9" w14:textId="77777777" w:rsidR="005A1A5F" w:rsidRDefault="005A1A5F" w:rsidP="003B416E">
    <w:pPr>
      <w:pStyle w:val="Header"/>
    </w:pPr>
    <w:r w:rsidRPr="001B6246">
      <w:rPr>
        <w:noProof/>
      </w:rPr>
      <mc:AlternateContent>
        <mc:Choice Requires="wpg">
          <w:drawing>
            <wp:anchor distT="0" distB="0" distL="114300" distR="114300" simplePos="0" relativeHeight="251667456" behindDoc="0" locked="0" layoutInCell="1" allowOverlap="1" wp14:anchorId="06B801BB" wp14:editId="5C27131C">
              <wp:simplePos x="0" y="0"/>
              <wp:positionH relativeFrom="column">
                <wp:posOffset>4800600</wp:posOffset>
              </wp:positionH>
              <wp:positionV relativeFrom="page">
                <wp:posOffset>0</wp:posOffset>
              </wp:positionV>
              <wp:extent cx="1600200" cy="804672"/>
              <wp:effectExtent l="0" t="0" r="0" b="0"/>
              <wp:wrapNone/>
              <wp:docPr id="1307098900" name="Group 7"/>
              <wp:cNvGraphicFramePr/>
              <a:graphic xmlns:a="http://schemas.openxmlformats.org/drawingml/2006/main">
                <a:graphicData uri="http://schemas.microsoft.com/office/word/2010/wordprocessingGroup">
                  <wpg:wgp>
                    <wpg:cNvGrpSpPr/>
                    <wpg:grpSpPr>
                      <a:xfrm>
                        <a:off x="0" y="0"/>
                        <a:ext cx="1600200" cy="804672"/>
                        <a:chOff x="0" y="0"/>
                        <a:chExt cx="1600200" cy="800259"/>
                      </a:xfrm>
                    </wpg:grpSpPr>
                    <wps:wsp>
                      <wps:cNvPr id="979483607" name="Text Box 4"/>
                      <wps:cNvSpPr txBox="1"/>
                      <wps:spPr>
                        <a:xfrm>
                          <a:off x="0" y="0"/>
                          <a:ext cx="1600200" cy="683877"/>
                        </a:xfrm>
                        <a:prstGeom prst="rect">
                          <a:avLst/>
                        </a:prstGeom>
                        <a:solidFill>
                          <a:schemeClr val="tx2"/>
                        </a:solidFill>
                        <a:ln w="6350">
                          <a:noFill/>
                        </a:ln>
                      </wps:spPr>
                      <wps:txbx>
                        <w:txbxContent>
                          <w:p w14:paraId="0796E534" w14:textId="09DDC6A2" w:rsidR="005A1A5F" w:rsidRDefault="00021BBE" w:rsidP="002A28C7">
                            <w:pPr>
                              <w:pStyle w:val="IssueBrief"/>
                            </w:pPr>
                            <w:r>
                              <w:t>FACT SHEET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56087128" name="Rectangle 3"/>
                      <wps:cNvSpPr/>
                      <wps:spPr>
                        <a:xfrm>
                          <a:off x="0" y="681387"/>
                          <a:ext cx="1600200" cy="118872"/>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B801BB" id="_x0000_s1034" style="position:absolute;margin-left:378pt;margin-top:0;width:126pt;height:63.35pt;z-index:251667456;mso-position-vertical-relative:page;mso-height-relative:margin" coordsize="16002,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">
              <v:shapetype id="_x0000_t202" coordsize="21600,21600" o:spt="202" path="m,l,21600r21600,l21600,xe">
                <v:stroke joinstyle="miter"/>
                <v:path gradientshapeok="t" o:connecttype="rect"/>
              </v:shapetype>
              <v:shape id="_x0000_s1035" type="#_x0000_t202" style="position:absolute;width:16002;height:68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" fillcolor="#005395 [3215]" stroked="f" strokeweight=".5pt">
                <v:textbox>
                  <w:txbxContent>
                    <w:p w14:paraId="0796E534" w14:textId="09DDC6A2" w:rsidR="005A1A5F" w:rsidRDefault="00021BBE" w:rsidP="002A28C7">
                      <w:pPr>
                        <w:pStyle w:val="IssueBrief"/>
                      </w:pPr>
                      <w:r>
                        <w:t>FACT SHEET</w:t>
                      </w:r>
                    </w:p>
                  </w:txbxContent>
                </v:textbox>
              </v:shape>
              <v:rect id="Rectangle 3" o:spid="_x0000_s1036" style="position:absolute;top:6813;width:16002;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" fillcolor="#374457 [3205]" stroked="f" strokeweight="1.5pt"/>
              <w10:wrap anchory="page"/>
            </v:group>
          </w:pict>
        </mc:Fallback>
      </mc:AlternateContent>
    </w:r>
  </w:p>
  <w:p w14:paraId="3289894E" w14:textId="77777777" w:rsidR="005A1A5F" w:rsidRDefault="005A1A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60E1" w14:textId="77777777" w:rsidR="00D831D1" w:rsidRDefault="007B223E" w:rsidP="003B416E">
    <w:pPr>
      <w:pStyle w:val="Header"/>
    </w:pPr>
    <w:r w:rsidRPr="001B6246">
      <w:rPr>
        <w:noProof/>
      </w:rPr>
      <mc:AlternateContent>
        <mc:Choice Requires="wpg">
          <w:drawing>
            <wp:anchor distT="0" distB="0" distL="114300" distR="114300" simplePos="0" relativeHeight="251665408" behindDoc="0" locked="0" layoutInCell="1" allowOverlap="1" wp14:anchorId="62FDB890" wp14:editId="3A9E5463">
              <wp:simplePos x="0" y="0"/>
              <wp:positionH relativeFrom="column">
                <wp:posOffset>4800600</wp:posOffset>
              </wp:positionH>
              <wp:positionV relativeFrom="page">
                <wp:posOffset>0</wp:posOffset>
              </wp:positionV>
              <wp:extent cx="1600200" cy="804672"/>
              <wp:effectExtent l="0" t="0" r="0" b="0"/>
              <wp:wrapNone/>
              <wp:docPr id="1416876031" name="Group 7"/>
              <wp:cNvGraphicFramePr/>
              <a:graphic xmlns:a="http://schemas.openxmlformats.org/drawingml/2006/main">
                <a:graphicData uri="http://schemas.microsoft.com/office/word/2010/wordprocessingGroup">
                  <wpg:wgp>
                    <wpg:cNvGrpSpPr/>
                    <wpg:grpSpPr>
                      <a:xfrm>
                        <a:off x="0" y="0"/>
                        <a:ext cx="1600200" cy="804672"/>
                        <a:chOff x="0" y="0"/>
                        <a:chExt cx="1600200" cy="800259"/>
                      </a:xfrm>
                    </wpg:grpSpPr>
                    <wps:wsp>
                      <wps:cNvPr id="1104681161" name="Text Box 4"/>
                      <wps:cNvSpPr txBox="1"/>
                      <wps:spPr>
                        <a:xfrm>
                          <a:off x="0" y="0"/>
                          <a:ext cx="1600200" cy="683877"/>
                        </a:xfrm>
                        <a:prstGeom prst="rect">
                          <a:avLst/>
                        </a:prstGeom>
                        <a:solidFill>
                          <a:schemeClr val="tx2"/>
                        </a:solidFill>
                        <a:ln w="6350">
                          <a:noFill/>
                        </a:ln>
                      </wps:spPr>
                      <wps:txbx>
                        <w:txbxContent>
                          <w:p w14:paraId="1E9FC5F0" w14:textId="30149F42" w:rsidR="002A28C7" w:rsidRDefault="00021BBE" w:rsidP="002A28C7">
                            <w:pPr>
                              <w:pStyle w:val="IssueBrief"/>
                            </w:pPr>
                            <w:r>
                              <w:t>FACT SHEET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08970210" name="Rectangle 3"/>
                      <wps:cNvSpPr/>
                      <wps:spPr>
                        <a:xfrm>
                          <a:off x="0" y="681387"/>
                          <a:ext cx="1600200" cy="118872"/>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FDB890" id="_x0000_s1037" style="position:absolute;margin-left:378pt;margin-top:0;width:126pt;height:63.35pt;z-index:251665408;mso-position-vertical-relative:page;mso-height-relative:margin" coordsize="16002,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">
              <v:shapetype id="_x0000_t202" coordsize="21600,21600" o:spt="202" path="m,l,21600r21600,l21600,xe">
                <v:stroke joinstyle="miter"/>
                <v:path gradientshapeok="t" o:connecttype="rect"/>
              </v:shapetype>
              <v:shape id="_x0000_s1038" type="#_x0000_t202" style="position:absolute;width:16002;height:68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" fillcolor="#005395 [3215]" stroked="f" strokeweight=".5pt">
                <v:textbox>
                  <w:txbxContent>
                    <w:p w14:paraId="1E9FC5F0" w14:textId="30149F42" w:rsidR="002A28C7" w:rsidRDefault="00021BBE" w:rsidP="002A28C7">
                      <w:pPr>
                        <w:pStyle w:val="IssueBrief"/>
                      </w:pPr>
                      <w:r>
                        <w:t>FACT SHEET</w:t>
                      </w:r>
                    </w:p>
                  </w:txbxContent>
                </v:textbox>
              </v:shape>
              <v:rect id="Rectangle 3" o:spid="_x0000_s1039" style="position:absolute;top:6813;width:16002;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" fillcolor="#374457 [3205]" stroked="f" strokeweight="1.5pt"/>
              <w10:wrap anchory="page"/>
            </v:group>
          </w:pict>
        </mc:Fallback>
      </mc:AlternateContent>
    </w:r>
  </w:p>
  <w:p w14:paraId="59943EED" w14:textId="77777777" w:rsidR="00D831D1" w:rsidRDefault="00D83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F6466F6"/>
    <w:lvl w:ilvl="0">
      <w:start w:val="1"/>
      <w:numFmt w:val="decimal"/>
      <w:pStyle w:val="ListNumber"/>
      <w:lvlText w:val="%1."/>
      <w:lvlJc w:val="left"/>
      <w:pPr>
        <w:ind w:left="360" w:hanging="360"/>
      </w:pPr>
      <w:rPr>
        <w:rFonts w:ascii="Segoe UI" w:hAnsi="Segoe UI" w:hint="default"/>
        <w:b/>
        <w:i w:val="0"/>
        <w:color w:val="005395" w:themeColor="text2"/>
        <w:sz w:val="20"/>
      </w:rPr>
    </w:lvl>
  </w:abstractNum>
  <w:abstractNum w:abstractNumId="1" w15:restartNumberingAfterBreak="0">
    <w:nsid w:val="FFFFFF89"/>
    <w:multiLevelType w:val="singleLevel"/>
    <w:tmpl w:val="C9F42D06"/>
    <w:lvl w:ilvl="0">
      <w:start w:val="1"/>
      <w:numFmt w:val="bullet"/>
      <w:pStyle w:val="ListBullet"/>
      <w:lvlText w:val=""/>
      <w:lvlJc w:val="left"/>
      <w:pPr>
        <w:ind w:left="360" w:hanging="360"/>
      </w:pPr>
      <w:rPr>
        <w:rFonts w:ascii="Symbol" w:hAnsi="Symbol" w:hint="default"/>
        <w:color w:val="005395" w:themeColor="text2"/>
      </w:rPr>
    </w:lvl>
  </w:abstractNum>
  <w:abstractNum w:abstractNumId="2" w15:restartNumberingAfterBreak="0">
    <w:nsid w:val="04EB4CFB"/>
    <w:multiLevelType w:val="hybridMultilevel"/>
    <w:tmpl w:val="DFC8BBA4"/>
    <w:lvl w:ilvl="0" w:tplc="8C7E5894">
      <w:start w:val="1"/>
      <w:numFmt w:val="decimal"/>
      <w:lvlText w:val="%1.  "/>
      <w:lvlJc w:val="left"/>
      <w:pPr>
        <w:ind w:left="720" w:hanging="360"/>
      </w:pPr>
      <w:rPr>
        <w:rFonts w:ascii="Segoe Pro Display" w:hAnsi="Segoe Pro Display"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26AB5"/>
    <w:multiLevelType w:val="hybridMultilevel"/>
    <w:tmpl w:val="C382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C35A5"/>
    <w:multiLevelType w:val="hybridMultilevel"/>
    <w:tmpl w:val="7236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1188F"/>
    <w:multiLevelType w:val="multilevel"/>
    <w:tmpl w:val="9502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E17D75"/>
    <w:multiLevelType w:val="hybridMultilevel"/>
    <w:tmpl w:val="A63E4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2141057"/>
    <w:multiLevelType w:val="hybridMultilevel"/>
    <w:tmpl w:val="02303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1785A"/>
    <w:multiLevelType w:val="hybridMultilevel"/>
    <w:tmpl w:val="CDE8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4718B9"/>
    <w:multiLevelType w:val="hybridMultilevel"/>
    <w:tmpl w:val="75DABBA8"/>
    <w:lvl w:ilvl="0" w:tplc="9F76165A">
      <w:start w:val="1"/>
      <w:numFmt w:val="bullet"/>
      <w:pStyle w:val="KeyFindingsBullet"/>
      <w:lvlText w:val="»"/>
      <w:lvlJc w:val="left"/>
      <w:pPr>
        <w:ind w:left="720" w:hanging="360"/>
      </w:pPr>
      <w:rPr>
        <w:rFonts w:ascii="Segoe UI" w:hAnsi="Segoe UI" w:hint="default"/>
        <w:b/>
        <w:i w:val="0"/>
        <w:color w:val="005395"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AD6F9B"/>
    <w:multiLevelType w:val="multilevel"/>
    <w:tmpl w:val="BC50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530F9F"/>
    <w:multiLevelType w:val="hybridMultilevel"/>
    <w:tmpl w:val="FA30AB18"/>
    <w:lvl w:ilvl="0" w:tplc="2DA6C2AA">
      <w:numFmt w:val="bullet"/>
      <w:lvlText w:val="•"/>
      <w:lvlJc w:val="left"/>
      <w:pPr>
        <w:ind w:left="719" w:hanging="360"/>
      </w:pPr>
      <w:rPr>
        <w:rFonts w:ascii="Sitka Banner" w:eastAsia="Sitka Banner" w:hAnsi="Sitka Banner" w:cs="Sitka Banner" w:hint="default"/>
        <w:b w:val="0"/>
        <w:bCs w:val="0"/>
        <w:i w:val="0"/>
        <w:iCs w:val="0"/>
        <w:color w:val="005294"/>
        <w:spacing w:val="0"/>
        <w:w w:val="100"/>
        <w:sz w:val="20"/>
        <w:szCs w:val="20"/>
        <w:lang w:val="en-US" w:eastAsia="en-US" w:bidi="ar-SA"/>
      </w:rPr>
    </w:lvl>
    <w:lvl w:ilvl="1" w:tplc="7EDE9876">
      <w:numFmt w:val="bullet"/>
      <w:lvlText w:val="•"/>
      <w:lvlJc w:val="left"/>
      <w:pPr>
        <w:ind w:left="1656" w:hanging="360"/>
      </w:pPr>
      <w:rPr>
        <w:rFonts w:hint="default"/>
        <w:lang w:val="en-US" w:eastAsia="en-US" w:bidi="ar-SA"/>
      </w:rPr>
    </w:lvl>
    <w:lvl w:ilvl="2" w:tplc="968875B0">
      <w:numFmt w:val="bullet"/>
      <w:lvlText w:val="•"/>
      <w:lvlJc w:val="left"/>
      <w:pPr>
        <w:ind w:left="2592" w:hanging="360"/>
      </w:pPr>
      <w:rPr>
        <w:rFonts w:hint="default"/>
        <w:lang w:val="en-US" w:eastAsia="en-US" w:bidi="ar-SA"/>
      </w:rPr>
    </w:lvl>
    <w:lvl w:ilvl="3" w:tplc="74067382">
      <w:numFmt w:val="bullet"/>
      <w:lvlText w:val="•"/>
      <w:lvlJc w:val="left"/>
      <w:pPr>
        <w:ind w:left="3528" w:hanging="360"/>
      </w:pPr>
      <w:rPr>
        <w:rFonts w:hint="default"/>
        <w:lang w:val="en-US" w:eastAsia="en-US" w:bidi="ar-SA"/>
      </w:rPr>
    </w:lvl>
    <w:lvl w:ilvl="4" w:tplc="AB48580C">
      <w:numFmt w:val="bullet"/>
      <w:lvlText w:val="•"/>
      <w:lvlJc w:val="left"/>
      <w:pPr>
        <w:ind w:left="4464" w:hanging="360"/>
      </w:pPr>
      <w:rPr>
        <w:rFonts w:hint="default"/>
        <w:lang w:val="en-US" w:eastAsia="en-US" w:bidi="ar-SA"/>
      </w:rPr>
    </w:lvl>
    <w:lvl w:ilvl="5" w:tplc="5236518E">
      <w:numFmt w:val="bullet"/>
      <w:lvlText w:val="•"/>
      <w:lvlJc w:val="left"/>
      <w:pPr>
        <w:ind w:left="5400" w:hanging="360"/>
      </w:pPr>
      <w:rPr>
        <w:rFonts w:hint="default"/>
        <w:lang w:val="en-US" w:eastAsia="en-US" w:bidi="ar-SA"/>
      </w:rPr>
    </w:lvl>
    <w:lvl w:ilvl="6" w:tplc="0BDC4F6A">
      <w:numFmt w:val="bullet"/>
      <w:lvlText w:val="•"/>
      <w:lvlJc w:val="left"/>
      <w:pPr>
        <w:ind w:left="6336" w:hanging="360"/>
      </w:pPr>
      <w:rPr>
        <w:rFonts w:hint="default"/>
        <w:lang w:val="en-US" w:eastAsia="en-US" w:bidi="ar-SA"/>
      </w:rPr>
    </w:lvl>
    <w:lvl w:ilvl="7" w:tplc="F2F68558">
      <w:numFmt w:val="bullet"/>
      <w:lvlText w:val="•"/>
      <w:lvlJc w:val="left"/>
      <w:pPr>
        <w:ind w:left="7272" w:hanging="360"/>
      </w:pPr>
      <w:rPr>
        <w:rFonts w:hint="default"/>
        <w:lang w:val="en-US" w:eastAsia="en-US" w:bidi="ar-SA"/>
      </w:rPr>
    </w:lvl>
    <w:lvl w:ilvl="8" w:tplc="EE2236B2">
      <w:numFmt w:val="bullet"/>
      <w:lvlText w:val="•"/>
      <w:lvlJc w:val="left"/>
      <w:pPr>
        <w:ind w:left="8208" w:hanging="360"/>
      </w:pPr>
      <w:rPr>
        <w:rFonts w:hint="default"/>
        <w:lang w:val="en-US" w:eastAsia="en-US" w:bidi="ar-SA"/>
      </w:rPr>
    </w:lvl>
  </w:abstractNum>
  <w:abstractNum w:abstractNumId="12" w15:restartNumberingAfterBreak="0">
    <w:nsid w:val="49AC1D9E"/>
    <w:multiLevelType w:val="multilevel"/>
    <w:tmpl w:val="EA70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8E0290"/>
    <w:multiLevelType w:val="hybridMultilevel"/>
    <w:tmpl w:val="D5223904"/>
    <w:lvl w:ilvl="0" w:tplc="A4246BE8">
      <w:start w:val="1"/>
      <w:numFmt w:val="decimal"/>
      <w:lvlText w:val="%1."/>
      <w:lvlJc w:val="left"/>
      <w:pPr>
        <w:ind w:left="720" w:hanging="360"/>
      </w:pPr>
      <w:rPr>
        <w:rFonts w:ascii="Segoe UI" w:eastAsia="Segoe UI" w:hAnsi="Segoe UI" w:cs="Segoe UI" w:hint="default"/>
        <w:b/>
        <w:bCs/>
        <w:i w:val="0"/>
        <w:iCs w:val="0"/>
        <w:color w:val="005294"/>
        <w:spacing w:val="0"/>
        <w:w w:val="100"/>
        <w:sz w:val="20"/>
        <w:szCs w:val="20"/>
        <w:lang w:val="en-US" w:eastAsia="en-US" w:bidi="ar-SA"/>
      </w:rPr>
    </w:lvl>
    <w:lvl w:ilvl="1" w:tplc="202A6340">
      <w:numFmt w:val="bullet"/>
      <w:lvlText w:val="•"/>
      <w:lvlJc w:val="left"/>
      <w:pPr>
        <w:ind w:left="1170" w:hanging="360"/>
      </w:pPr>
      <w:rPr>
        <w:rFonts w:hint="default"/>
        <w:lang w:val="en-US" w:eastAsia="en-US" w:bidi="ar-SA"/>
      </w:rPr>
    </w:lvl>
    <w:lvl w:ilvl="2" w:tplc="23549190">
      <w:numFmt w:val="bullet"/>
      <w:lvlText w:val="•"/>
      <w:lvlJc w:val="left"/>
      <w:pPr>
        <w:ind w:left="1620" w:hanging="360"/>
      </w:pPr>
      <w:rPr>
        <w:rFonts w:hint="default"/>
        <w:lang w:val="en-US" w:eastAsia="en-US" w:bidi="ar-SA"/>
      </w:rPr>
    </w:lvl>
    <w:lvl w:ilvl="3" w:tplc="B0E0FDF0">
      <w:numFmt w:val="bullet"/>
      <w:lvlText w:val="•"/>
      <w:lvlJc w:val="left"/>
      <w:pPr>
        <w:ind w:left="2070" w:hanging="360"/>
      </w:pPr>
      <w:rPr>
        <w:rFonts w:hint="default"/>
        <w:lang w:val="en-US" w:eastAsia="en-US" w:bidi="ar-SA"/>
      </w:rPr>
    </w:lvl>
    <w:lvl w:ilvl="4" w:tplc="8614111E">
      <w:numFmt w:val="bullet"/>
      <w:lvlText w:val="•"/>
      <w:lvlJc w:val="left"/>
      <w:pPr>
        <w:ind w:left="2520" w:hanging="360"/>
      </w:pPr>
      <w:rPr>
        <w:rFonts w:hint="default"/>
        <w:lang w:val="en-US" w:eastAsia="en-US" w:bidi="ar-SA"/>
      </w:rPr>
    </w:lvl>
    <w:lvl w:ilvl="5" w:tplc="F0B2A0F6">
      <w:numFmt w:val="bullet"/>
      <w:lvlText w:val="•"/>
      <w:lvlJc w:val="left"/>
      <w:pPr>
        <w:ind w:left="2970" w:hanging="360"/>
      </w:pPr>
      <w:rPr>
        <w:rFonts w:hint="default"/>
        <w:lang w:val="en-US" w:eastAsia="en-US" w:bidi="ar-SA"/>
      </w:rPr>
    </w:lvl>
    <w:lvl w:ilvl="6" w:tplc="A2145EB4">
      <w:numFmt w:val="bullet"/>
      <w:lvlText w:val="•"/>
      <w:lvlJc w:val="left"/>
      <w:pPr>
        <w:ind w:left="3420" w:hanging="360"/>
      </w:pPr>
      <w:rPr>
        <w:rFonts w:hint="default"/>
        <w:lang w:val="en-US" w:eastAsia="en-US" w:bidi="ar-SA"/>
      </w:rPr>
    </w:lvl>
    <w:lvl w:ilvl="7" w:tplc="76F89E42">
      <w:numFmt w:val="bullet"/>
      <w:lvlText w:val="•"/>
      <w:lvlJc w:val="left"/>
      <w:pPr>
        <w:ind w:left="3870" w:hanging="360"/>
      </w:pPr>
      <w:rPr>
        <w:rFonts w:hint="default"/>
        <w:lang w:val="en-US" w:eastAsia="en-US" w:bidi="ar-SA"/>
      </w:rPr>
    </w:lvl>
    <w:lvl w:ilvl="8" w:tplc="F7E49EA8">
      <w:numFmt w:val="bullet"/>
      <w:lvlText w:val="•"/>
      <w:lvlJc w:val="left"/>
      <w:pPr>
        <w:ind w:left="4321" w:hanging="360"/>
      </w:pPr>
      <w:rPr>
        <w:rFonts w:hint="default"/>
        <w:lang w:val="en-US" w:eastAsia="en-US" w:bidi="ar-SA"/>
      </w:rPr>
    </w:lvl>
  </w:abstractNum>
  <w:abstractNum w:abstractNumId="14" w15:restartNumberingAfterBreak="0">
    <w:nsid w:val="634D3C58"/>
    <w:multiLevelType w:val="hybridMultilevel"/>
    <w:tmpl w:val="7BC4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D7477A"/>
    <w:multiLevelType w:val="hybridMultilevel"/>
    <w:tmpl w:val="A02436F8"/>
    <w:lvl w:ilvl="0" w:tplc="4EE05510">
      <w:start w:val="1"/>
      <w:numFmt w:val="decimal"/>
      <w:lvlText w:val="%1."/>
      <w:lvlJc w:val="left"/>
      <w:pPr>
        <w:ind w:left="720" w:hanging="360"/>
      </w:pPr>
      <w:rPr>
        <w:rFonts w:ascii="Lato" w:hAnsi="Lato" w:hint="default"/>
        <w:b w:val="0"/>
        <w:bCs w:val="0"/>
        <w:i w:val="0"/>
        <w:iCs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0A753C"/>
    <w:multiLevelType w:val="hybridMultilevel"/>
    <w:tmpl w:val="7BB4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D830FD"/>
    <w:multiLevelType w:val="hybridMultilevel"/>
    <w:tmpl w:val="A016D5C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B003FFC"/>
    <w:multiLevelType w:val="hybridMultilevel"/>
    <w:tmpl w:val="14E4B1EA"/>
    <w:lvl w:ilvl="0" w:tplc="22567FE4">
      <w:start w:val="1"/>
      <w:numFmt w:val="bullet"/>
      <w:pStyle w:val="TextboxBullet"/>
      <w:lvlText w:val="●"/>
      <w:lvlJc w:val="left"/>
      <w:pPr>
        <w:ind w:left="360" w:hanging="360"/>
      </w:pPr>
      <w:rPr>
        <w:rFonts w:ascii="Segoe UI" w:hAnsi="Segoe UI" w:hint="default"/>
        <w:b w:val="0"/>
        <w:i w:val="0"/>
        <w:color w:val="005395" w:themeColor="text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C1AF6"/>
    <w:multiLevelType w:val="hybridMultilevel"/>
    <w:tmpl w:val="1362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205A46"/>
    <w:multiLevelType w:val="multilevel"/>
    <w:tmpl w:val="FF64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2027433">
    <w:abstractNumId w:val="1"/>
  </w:num>
  <w:num w:numId="2" w16cid:durableId="1089470632">
    <w:abstractNumId w:val="1"/>
  </w:num>
  <w:num w:numId="3" w16cid:durableId="900336501">
    <w:abstractNumId w:val="0"/>
  </w:num>
  <w:num w:numId="4" w16cid:durableId="1693919610">
    <w:abstractNumId w:val="0"/>
  </w:num>
  <w:num w:numId="5" w16cid:durableId="1742143687">
    <w:abstractNumId w:val="15"/>
  </w:num>
  <w:num w:numId="6" w16cid:durableId="789203024">
    <w:abstractNumId w:val="18"/>
  </w:num>
  <w:num w:numId="7" w16cid:durableId="1516071584">
    <w:abstractNumId w:val="9"/>
  </w:num>
  <w:num w:numId="8" w16cid:durableId="1113524263">
    <w:abstractNumId w:val="11"/>
  </w:num>
  <w:num w:numId="9" w16cid:durableId="1013800960">
    <w:abstractNumId w:val="13"/>
  </w:num>
  <w:num w:numId="10" w16cid:durableId="1158691239">
    <w:abstractNumId w:val="2"/>
  </w:num>
  <w:num w:numId="11" w16cid:durableId="630550204">
    <w:abstractNumId w:val="19"/>
  </w:num>
  <w:num w:numId="12" w16cid:durableId="96029855">
    <w:abstractNumId w:val="8"/>
  </w:num>
  <w:num w:numId="13" w16cid:durableId="919026854">
    <w:abstractNumId w:val="14"/>
  </w:num>
  <w:num w:numId="14" w16cid:durableId="856581323">
    <w:abstractNumId w:val="4"/>
  </w:num>
  <w:num w:numId="15" w16cid:durableId="863056476">
    <w:abstractNumId w:val="10"/>
  </w:num>
  <w:num w:numId="16" w16cid:durableId="946885650">
    <w:abstractNumId w:val="3"/>
  </w:num>
  <w:num w:numId="17" w16cid:durableId="187063828">
    <w:abstractNumId w:val="12"/>
  </w:num>
  <w:num w:numId="18" w16cid:durableId="1757166926">
    <w:abstractNumId w:val="20"/>
  </w:num>
  <w:num w:numId="19" w16cid:durableId="34281233">
    <w:abstractNumId w:val="5"/>
  </w:num>
  <w:num w:numId="20" w16cid:durableId="448744249">
    <w:abstractNumId w:val="6"/>
  </w:num>
  <w:num w:numId="21" w16cid:durableId="606474283">
    <w:abstractNumId w:val="17"/>
  </w:num>
  <w:num w:numId="22" w16cid:durableId="1776170167">
    <w:abstractNumId w:val="6"/>
  </w:num>
  <w:num w:numId="23" w16cid:durableId="897088233">
    <w:abstractNumId w:val="7"/>
  </w:num>
  <w:num w:numId="24" w16cid:durableId="9115495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defaultTabStop w:val="720"/>
  <w:autoHyphenation/>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5D0"/>
    <w:rsid w:val="00003C24"/>
    <w:rsid w:val="0000625A"/>
    <w:rsid w:val="0000768F"/>
    <w:rsid w:val="00007992"/>
    <w:rsid w:val="00012242"/>
    <w:rsid w:val="000131DC"/>
    <w:rsid w:val="00020A3A"/>
    <w:rsid w:val="00021BBE"/>
    <w:rsid w:val="000238A1"/>
    <w:rsid w:val="0002673D"/>
    <w:rsid w:val="000336FA"/>
    <w:rsid w:val="000340A3"/>
    <w:rsid w:val="0003562D"/>
    <w:rsid w:val="0004470A"/>
    <w:rsid w:val="00052C3E"/>
    <w:rsid w:val="000544F8"/>
    <w:rsid w:val="00057D90"/>
    <w:rsid w:val="000632FA"/>
    <w:rsid w:val="00066DE6"/>
    <w:rsid w:val="00070EA8"/>
    <w:rsid w:val="00082140"/>
    <w:rsid w:val="000850B8"/>
    <w:rsid w:val="000867CD"/>
    <w:rsid w:val="000948AB"/>
    <w:rsid w:val="00094F6C"/>
    <w:rsid w:val="00095C68"/>
    <w:rsid w:val="00095CB5"/>
    <w:rsid w:val="0009763C"/>
    <w:rsid w:val="00097C46"/>
    <w:rsid w:val="000A3898"/>
    <w:rsid w:val="000A3A8A"/>
    <w:rsid w:val="000B0444"/>
    <w:rsid w:val="000B5075"/>
    <w:rsid w:val="000B5BC5"/>
    <w:rsid w:val="000D4622"/>
    <w:rsid w:val="000D6474"/>
    <w:rsid w:val="000E03C2"/>
    <w:rsid w:val="000E6DBB"/>
    <w:rsid w:val="000F38DE"/>
    <w:rsid w:val="000F4150"/>
    <w:rsid w:val="0010309A"/>
    <w:rsid w:val="001073BD"/>
    <w:rsid w:val="001077B0"/>
    <w:rsid w:val="001110F7"/>
    <w:rsid w:val="0012131A"/>
    <w:rsid w:val="001271AB"/>
    <w:rsid w:val="00132B49"/>
    <w:rsid w:val="00135443"/>
    <w:rsid w:val="00150FA9"/>
    <w:rsid w:val="001530BD"/>
    <w:rsid w:val="0015350A"/>
    <w:rsid w:val="001535A8"/>
    <w:rsid w:val="0016174E"/>
    <w:rsid w:val="00165FCB"/>
    <w:rsid w:val="00166021"/>
    <w:rsid w:val="00170DAA"/>
    <w:rsid w:val="00176091"/>
    <w:rsid w:val="001805DC"/>
    <w:rsid w:val="00180C2A"/>
    <w:rsid w:val="00182DAA"/>
    <w:rsid w:val="0018464A"/>
    <w:rsid w:val="001A51C4"/>
    <w:rsid w:val="001B02B9"/>
    <w:rsid w:val="001B6246"/>
    <w:rsid w:val="001C230E"/>
    <w:rsid w:val="001E125F"/>
    <w:rsid w:val="001E1F6A"/>
    <w:rsid w:val="001E5302"/>
    <w:rsid w:val="0020141C"/>
    <w:rsid w:val="00210A29"/>
    <w:rsid w:val="00212405"/>
    <w:rsid w:val="00212740"/>
    <w:rsid w:val="00212F71"/>
    <w:rsid w:val="002168D6"/>
    <w:rsid w:val="00217D99"/>
    <w:rsid w:val="00220155"/>
    <w:rsid w:val="002315A2"/>
    <w:rsid w:val="00241B8B"/>
    <w:rsid w:val="00242ADE"/>
    <w:rsid w:val="00242DF6"/>
    <w:rsid w:val="0025088D"/>
    <w:rsid w:val="00261703"/>
    <w:rsid w:val="00262122"/>
    <w:rsid w:val="0026750D"/>
    <w:rsid w:val="00276229"/>
    <w:rsid w:val="0027789F"/>
    <w:rsid w:val="00283DEC"/>
    <w:rsid w:val="00286AFB"/>
    <w:rsid w:val="002A0BFB"/>
    <w:rsid w:val="002A0C5D"/>
    <w:rsid w:val="002A1722"/>
    <w:rsid w:val="002A28C7"/>
    <w:rsid w:val="002A33C5"/>
    <w:rsid w:val="002B3608"/>
    <w:rsid w:val="002B5F89"/>
    <w:rsid w:val="002B74EE"/>
    <w:rsid w:val="002C3AA3"/>
    <w:rsid w:val="002C6561"/>
    <w:rsid w:val="002C7357"/>
    <w:rsid w:val="002D0370"/>
    <w:rsid w:val="002E5780"/>
    <w:rsid w:val="00301C14"/>
    <w:rsid w:val="003040E9"/>
    <w:rsid w:val="00306745"/>
    <w:rsid w:val="00307342"/>
    <w:rsid w:val="003205E8"/>
    <w:rsid w:val="00323CFA"/>
    <w:rsid w:val="003328B1"/>
    <w:rsid w:val="00336E11"/>
    <w:rsid w:val="00345C5C"/>
    <w:rsid w:val="00347117"/>
    <w:rsid w:val="0037393A"/>
    <w:rsid w:val="0038016B"/>
    <w:rsid w:val="003845F9"/>
    <w:rsid w:val="00392B25"/>
    <w:rsid w:val="00393BFF"/>
    <w:rsid w:val="00395B66"/>
    <w:rsid w:val="003A1927"/>
    <w:rsid w:val="003A1A58"/>
    <w:rsid w:val="003A7F18"/>
    <w:rsid w:val="003B416E"/>
    <w:rsid w:val="003C256F"/>
    <w:rsid w:val="003D7552"/>
    <w:rsid w:val="003E4905"/>
    <w:rsid w:val="003E6C2C"/>
    <w:rsid w:val="003E75D8"/>
    <w:rsid w:val="003F10F7"/>
    <w:rsid w:val="003F7014"/>
    <w:rsid w:val="003F7594"/>
    <w:rsid w:val="004016C6"/>
    <w:rsid w:val="00402F2F"/>
    <w:rsid w:val="0041466F"/>
    <w:rsid w:val="004169D3"/>
    <w:rsid w:val="004178C6"/>
    <w:rsid w:val="00423B17"/>
    <w:rsid w:val="00425154"/>
    <w:rsid w:val="00425934"/>
    <w:rsid w:val="0043045E"/>
    <w:rsid w:val="004334E3"/>
    <w:rsid w:val="0043510E"/>
    <w:rsid w:val="00441636"/>
    <w:rsid w:val="0044369B"/>
    <w:rsid w:val="00443E3E"/>
    <w:rsid w:val="004469F5"/>
    <w:rsid w:val="0045404E"/>
    <w:rsid w:val="004549B4"/>
    <w:rsid w:val="00455718"/>
    <w:rsid w:val="00461B90"/>
    <w:rsid w:val="00465BF0"/>
    <w:rsid w:val="00465D41"/>
    <w:rsid w:val="004707DF"/>
    <w:rsid w:val="004710A2"/>
    <w:rsid w:val="00484CDE"/>
    <w:rsid w:val="00490F5D"/>
    <w:rsid w:val="00493A65"/>
    <w:rsid w:val="00496A7E"/>
    <w:rsid w:val="004A359F"/>
    <w:rsid w:val="004B2BE7"/>
    <w:rsid w:val="004B55E7"/>
    <w:rsid w:val="004B597C"/>
    <w:rsid w:val="004B7FB2"/>
    <w:rsid w:val="004C0E8A"/>
    <w:rsid w:val="004C786A"/>
    <w:rsid w:val="004D448A"/>
    <w:rsid w:val="004D7AFD"/>
    <w:rsid w:val="004E31E5"/>
    <w:rsid w:val="004E4888"/>
    <w:rsid w:val="004E4BD2"/>
    <w:rsid w:val="004F5212"/>
    <w:rsid w:val="00501E8C"/>
    <w:rsid w:val="005246AF"/>
    <w:rsid w:val="00525B23"/>
    <w:rsid w:val="00526200"/>
    <w:rsid w:val="00535AF3"/>
    <w:rsid w:val="005412AD"/>
    <w:rsid w:val="00544914"/>
    <w:rsid w:val="005459F8"/>
    <w:rsid w:val="00550633"/>
    <w:rsid w:val="00553E75"/>
    <w:rsid w:val="005540EF"/>
    <w:rsid w:val="00555BB3"/>
    <w:rsid w:val="005576EC"/>
    <w:rsid w:val="005607CA"/>
    <w:rsid w:val="005630FC"/>
    <w:rsid w:val="0056639A"/>
    <w:rsid w:val="00571C14"/>
    <w:rsid w:val="00583ABA"/>
    <w:rsid w:val="005945D0"/>
    <w:rsid w:val="005977E8"/>
    <w:rsid w:val="00597F46"/>
    <w:rsid w:val="005A0394"/>
    <w:rsid w:val="005A07AD"/>
    <w:rsid w:val="005A1A5F"/>
    <w:rsid w:val="005A764A"/>
    <w:rsid w:val="005B22CD"/>
    <w:rsid w:val="005B2F8E"/>
    <w:rsid w:val="005B3594"/>
    <w:rsid w:val="005B4DC0"/>
    <w:rsid w:val="005C1ADC"/>
    <w:rsid w:val="005C4C02"/>
    <w:rsid w:val="005C66B3"/>
    <w:rsid w:val="005D15C6"/>
    <w:rsid w:val="005D4126"/>
    <w:rsid w:val="005D6F76"/>
    <w:rsid w:val="005D7FD6"/>
    <w:rsid w:val="005E29A4"/>
    <w:rsid w:val="005F5452"/>
    <w:rsid w:val="00606D0C"/>
    <w:rsid w:val="00607D14"/>
    <w:rsid w:val="006130EF"/>
    <w:rsid w:val="00613CB2"/>
    <w:rsid w:val="006209E1"/>
    <w:rsid w:val="006213D8"/>
    <w:rsid w:val="00623C30"/>
    <w:rsid w:val="00633550"/>
    <w:rsid w:val="00642AED"/>
    <w:rsid w:val="00652A4B"/>
    <w:rsid w:val="00654C29"/>
    <w:rsid w:val="006570CE"/>
    <w:rsid w:val="00657CB8"/>
    <w:rsid w:val="006648ED"/>
    <w:rsid w:val="00680F7B"/>
    <w:rsid w:val="00686F94"/>
    <w:rsid w:val="00692BDC"/>
    <w:rsid w:val="006A6768"/>
    <w:rsid w:val="006B5F15"/>
    <w:rsid w:val="006B68E8"/>
    <w:rsid w:val="006B6CFB"/>
    <w:rsid w:val="006C07BC"/>
    <w:rsid w:val="006D39C5"/>
    <w:rsid w:val="006E5F4A"/>
    <w:rsid w:val="007000D0"/>
    <w:rsid w:val="00703278"/>
    <w:rsid w:val="00704762"/>
    <w:rsid w:val="00704EF3"/>
    <w:rsid w:val="007059D8"/>
    <w:rsid w:val="00720B8C"/>
    <w:rsid w:val="0073385A"/>
    <w:rsid w:val="007401BD"/>
    <w:rsid w:val="007468BF"/>
    <w:rsid w:val="007563BB"/>
    <w:rsid w:val="00757FDB"/>
    <w:rsid w:val="0077618A"/>
    <w:rsid w:val="007762A4"/>
    <w:rsid w:val="00786274"/>
    <w:rsid w:val="007A04DA"/>
    <w:rsid w:val="007A3AB3"/>
    <w:rsid w:val="007B117A"/>
    <w:rsid w:val="007B223E"/>
    <w:rsid w:val="007C1471"/>
    <w:rsid w:val="007C1706"/>
    <w:rsid w:val="007C42E4"/>
    <w:rsid w:val="007D05A0"/>
    <w:rsid w:val="007D18A6"/>
    <w:rsid w:val="007D366C"/>
    <w:rsid w:val="007D4B50"/>
    <w:rsid w:val="007F24FB"/>
    <w:rsid w:val="007F4815"/>
    <w:rsid w:val="008067BD"/>
    <w:rsid w:val="0082569E"/>
    <w:rsid w:val="0083146B"/>
    <w:rsid w:val="00837318"/>
    <w:rsid w:val="00844367"/>
    <w:rsid w:val="00845505"/>
    <w:rsid w:val="0085066D"/>
    <w:rsid w:val="00851A14"/>
    <w:rsid w:val="008643E8"/>
    <w:rsid w:val="00873439"/>
    <w:rsid w:val="00874A78"/>
    <w:rsid w:val="00880656"/>
    <w:rsid w:val="00881204"/>
    <w:rsid w:val="008819A0"/>
    <w:rsid w:val="00882A7B"/>
    <w:rsid w:val="008830F0"/>
    <w:rsid w:val="00885538"/>
    <w:rsid w:val="00894D6B"/>
    <w:rsid w:val="00895EBC"/>
    <w:rsid w:val="008B43B3"/>
    <w:rsid w:val="008B46A4"/>
    <w:rsid w:val="008E57FF"/>
    <w:rsid w:val="00913EB0"/>
    <w:rsid w:val="00921DD2"/>
    <w:rsid w:val="00923031"/>
    <w:rsid w:val="009322E7"/>
    <w:rsid w:val="00937C72"/>
    <w:rsid w:val="009415E0"/>
    <w:rsid w:val="009422B1"/>
    <w:rsid w:val="009461E7"/>
    <w:rsid w:val="009602E0"/>
    <w:rsid w:val="00963E62"/>
    <w:rsid w:val="009642F9"/>
    <w:rsid w:val="00970D99"/>
    <w:rsid w:val="00977B5C"/>
    <w:rsid w:val="00980B16"/>
    <w:rsid w:val="00984D68"/>
    <w:rsid w:val="00986AC7"/>
    <w:rsid w:val="00987687"/>
    <w:rsid w:val="0099492E"/>
    <w:rsid w:val="0099754D"/>
    <w:rsid w:val="009A0E03"/>
    <w:rsid w:val="009A21DD"/>
    <w:rsid w:val="009A385C"/>
    <w:rsid w:val="009B1068"/>
    <w:rsid w:val="009B2519"/>
    <w:rsid w:val="009B572F"/>
    <w:rsid w:val="009B59E2"/>
    <w:rsid w:val="009B77F1"/>
    <w:rsid w:val="009C0ED9"/>
    <w:rsid w:val="009C15D8"/>
    <w:rsid w:val="009D2054"/>
    <w:rsid w:val="009D2EB2"/>
    <w:rsid w:val="009D75B9"/>
    <w:rsid w:val="009D7BE8"/>
    <w:rsid w:val="009E1C3D"/>
    <w:rsid w:val="009E3260"/>
    <w:rsid w:val="009E4873"/>
    <w:rsid w:val="009F27F5"/>
    <w:rsid w:val="00A0023C"/>
    <w:rsid w:val="00A033B2"/>
    <w:rsid w:val="00A17398"/>
    <w:rsid w:val="00A204C8"/>
    <w:rsid w:val="00A2282C"/>
    <w:rsid w:val="00A25095"/>
    <w:rsid w:val="00A26103"/>
    <w:rsid w:val="00A314A7"/>
    <w:rsid w:val="00A372AB"/>
    <w:rsid w:val="00A64A40"/>
    <w:rsid w:val="00A6571E"/>
    <w:rsid w:val="00A67B18"/>
    <w:rsid w:val="00A70D0A"/>
    <w:rsid w:val="00A7144C"/>
    <w:rsid w:val="00A82E95"/>
    <w:rsid w:val="00A91F27"/>
    <w:rsid w:val="00AA3CD9"/>
    <w:rsid w:val="00AA6341"/>
    <w:rsid w:val="00AA6ABB"/>
    <w:rsid w:val="00AB4D30"/>
    <w:rsid w:val="00AB5E1C"/>
    <w:rsid w:val="00AB6E0D"/>
    <w:rsid w:val="00AB71BB"/>
    <w:rsid w:val="00AC7F08"/>
    <w:rsid w:val="00AD242D"/>
    <w:rsid w:val="00AD45E4"/>
    <w:rsid w:val="00AE1E91"/>
    <w:rsid w:val="00AE792F"/>
    <w:rsid w:val="00AF7156"/>
    <w:rsid w:val="00B051F1"/>
    <w:rsid w:val="00B0597D"/>
    <w:rsid w:val="00B101E9"/>
    <w:rsid w:val="00B14533"/>
    <w:rsid w:val="00B16AC7"/>
    <w:rsid w:val="00B20BC5"/>
    <w:rsid w:val="00B245CF"/>
    <w:rsid w:val="00B3079A"/>
    <w:rsid w:val="00B32491"/>
    <w:rsid w:val="00B32541"/>
    <w:rsid w:val="00B452D1"/>
    <w:rsid w:val="00B47531"/>
    <w:rsid w:val="00B51303"/>
    <w:rsid w:val="00B5638E"/>
    <w:rsid w:val="00B571D6"/>
    <w:rsid w:val="00B60EA6"/>
    <w:rsid w:val="00B718C7"/>
    <w:rsid w:val="00B71C4A"/>
    <w:rsid w:val="00B8025B"/>
    <w:rsid w:val="00B845A2"/>
    <w:rsid w:val="00B85F98"/>
    <w:rsid w:val="00B86C6C"/>
    <w:rsid w:val="00BA5FF8"/>
    <w:rsid w:val="00BA6CA4"/>
    <w:rsid w:val="00BA7B58"/>
    <w:rsid w:val="00BB067E"/>
    <w:rsid w:val="00BB5EDF"/>
    <w:rsid w:val="00BB6681"/>
    <w:rsid w:val="00BC2A4B"/>
    <w:rsid w:val="00BE0EC1"/>
    <w:rsid w:val="00BE2A45"/>
    <w:rsid w:val="00BE2E2F"/>
    <w:rsid w:val="00BF1E25"/>
    <w:rsid w:val="00BF6847"/>
    <w:rsid w:val="00C0063E"/>
    <w:rsid w:val="00C01A02"/>
    <w:rsid w:val="00C04D96"/>
    <w:rsid w:val="00C124B3"/>
    <w:rsid w:val="00C142C0"/>
    <w:rsid w:val="00C149F0"/>
    <w:rsid w:val="00C170F6"/>
    <w:rsid w:val="00C171B0"/>
    <w:rsid w:val="00C21342"/>
    <w:rsid w:val="00C23D8B"/>
    <w:rsid w:val="00C37CB7"/>
    <w:rsid w:val="00C401CA"/>
    <w:rsid w:val="00C458DA"/>
    <w:rsid w:val="00C4700C"/>
    <w:rsid w:val="00C47318"/>
    <w:rsid w:val="00C50799"/>
    <w:rsid w:val="00C564DC"/>
    <w:rsid w:val="00C56988"/>
    <w:rsid w:val="00C843B2"/>
    <w:rsid w:val="00C84F21"/>
    <w:rsid w:val="00C923AA"/>
    <w:rsid w:val="00CA7F5B"/>
    <w:rsid w:val="00CB44FC"/>
    <w:rsid w:val="00CC30BB"/>
    <w:rsid w:val="00CC4722"/>
    <w:rsid w:val="00CD464E"/>
    <w:rsid w:val="00CF0B91"/>
    <w:rsid w:val="00CF36DB"/>
    <w:rsid w:val="00CF3953"/>
    <w:rsid w:val="00CF3E6C"/>
    <w:rsid w:val="00D07A7D"/>
    <w:rsid w:val="00D17B26"/>
    <w:rsid w:val="00D23AF3"/>
    <w:rsid w:val="00D25B9D"/>
    <w:rsid w:val="00D271B0"/>
    <w:rsid w:val="00D3788D"/>
    <w:rsid w:val="00D7240E"/>
    <w:rsid w:val="00D742DE"/>
    <w:rsid w:val="00D7493E"/>
    <w:rsid w:val="00D760C9"/>
    <w:rsid w:val="00D815B2"/>
    <w:rsid w:val="00D823AC"/>
    <w:rsid w:val="00D831D1"/>
    <w:rsid w:val="00D87321"/>
    <w:rsid w:val="00D96FCC"/>
    <w:rsid w:val="00DA6774"/>
    <w:rsid w:val="00DB0B1D"/>
    <w:rsid w:val="00DB0FF7"/>
    <w:rsid w:val="00DB1CB7"/>
    <w:rsid w:val="00DB2450"/>
    <w:rsid w:val="00DB3ACD"/>
    <w:rsid w:val="00DB4E70"/>
    <w:rsid w:val="00DB64BE"/>
    <w:rsid w:val="00DB7427"/>
    <w:rsid w:val="00DC39C3"/>
    <w:rsid w:val="00DC703A"/>
    <w:rsid w:val="00DD11F0"/>
    <w:rsid w:val="00DD4A1B"/>
    <w:rsid w:val="00DE432B"/>
    <w:rsid w:val="00DE4E43"/>
    <w:rsid w:val="00DE655D"/>
    <w:rsid w:val="00E000D7"/>
    <w:rsid w:val="00E00FA0"/>
    <w:rsid w:val="00E04404"/>
    <w:rsid w:val="00E127E0"/>
    <w:rsid w:val="00E21D14"/>
    <w:rsid w:val="00E30A91"/>
    <w:rsid w:val="00E360EC"/>
    <w:rsid w:val="00E42CF8"/>
    <w:rsid w:val="00E43C2D"/>
    <w:rsid w:val="00E43D76"/>
    <w:rsid w:val="00E441A0"/>
    <w:rsid w:val="00E45B30"/>
    <w:rsid w:val="00E47C0F"/>
    <w:rsid w:val="00E60CD0"/>
    <w:rsid w:val="00E62E0C"/>
    <w:rsid w:val="00E716DB"/>
    <w:rsid w:val="00E72B4D"/>
    <w:rsid w:val="00E7551E"/>
    <w:rsid w:val="00E7649D"/>
    <w:rsid w:val="00E77A61"/>
    <w:rsid w:val="00E81BE5"/>
    <w:rsid w:val="00E84895"/>
    <w:rsid w:val="00E8612B"/>
    <w:rsid w:val="00E923A2"/>
    <w:rsid w:val="00E97956"/>
    <w:rsid w:val="00EA151C"/>
    <w:rsid w:val="00EA1770"/>
    <w:rsid w:val="00EA446A"/>
    <w:rsid w:val="00EB3E70"/>
    <w:rsid w:val="00EB669E"/>
    <w:rsid w:val="00EC7774"/>
    <w:rsid w:val="00ED11C5"/>
    <w:rsid w:val="00ED2E20"/>
    <w:rsid w:val="00ED3FE5"/>
    <w:rsid w:val="00EE3DB6"/>
    <w:rsid w:val="00EE6A68"/>
    <w:rsid w:val="00EF0492"/>
    <w:rsid w:val="00EF57F2"/>
    <w:rsid w:val="00F005E1"/>
    <w:rsid w:val="00F009A3"/>
    <w:rsid w:val="00F02693"/>
    <w:rsid w:val="00F12940"/>
    <w:rsid w:val="00F25AFA"/>
    <w:rsid w:val="00F33D0D"/>
    <w:rsid w:val="00F379B1"/>
    <w:rsid w:val="00F41F2B"/>
    <w:rsid w:val="00F4281A"/>
    <w:rsid w:val="00F45D2F"/>
    <w:rsid w:val="00F52808"/>
    <w:rsid w:val="00F572CE"/>
    <w:rsid w:val="00F75FF0"/>
    <w:rsid w:val="00F76CFD"/>
    <w:rsid w:val="00F80081"/>
    <w:rsid w:val="00F84B34"/>
    <w:rsid w:val="00F86702"/>
    <w:rsid w:val="00F92094"/>
    <w:rsid w:val="00F92B09"/>
    <w:rsid w:val="00F95C1E"/>
    <w:rsid w:val="00FA4B6D"/>
    <w:rsid w:val="00FB1D17"/>
    <w:rsid w:val="00FB480F"/>
    <w:rsid w:val="00FB56E3"/>
    <w:rsid w:val="00FE06C8"/>
    <w:rsid w:val="00FE172F"/>
    <w:rsid w:val="00FE7C56"/>
    <w:rsid w:val="00FF1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EF5BD"/>
  <w15:chartTrackingRefBased/>
  <w15:docId w15:val="{2E62D030-5463-4211-B6D7-759D8E88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lang w:val="en-US" w:eastAsia="en-US" w:bidi="ar-SA"/>
        <w14:ligatures w14:val="standardContextual"/>
      </w:rPr>
    </w:rPrDefault>
    <w:pPrDefault/>
  </w:docDefaults>
  <w:latentStyles w:defLockedState="1" w:defUIPriority="99" w:defSemiHidden="0" w:defUnhideWhenUsed="0" w:defQFormat="0" w:count="376">
    <w:lsdException w:name="Normal" w:locked="0" w:uiPriority="2"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lsdException w:name="annotation text" w:locked="0"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lsdException w:name="annotation reference" w:locked="0" w:semiHidden="1" w:unhideWhenUsed="1"/>
    <w:lsdException w:name="line number" w:semiHidden="1" w:unhideWhenUsed="1"/>
    <w:lsdException w:name="page number" w:locked="0"/>
    <w:lsdException w:name="endnote reference" w:locked="0"/>
    <w:lsdException w:name="endnote text" w:locked="0" w:qFormat="1"/>
    <w:lsdException w:name="table of authorities" w:semiHidden="1" w:unhideWhenUsed="1"/>
    <w:lsdException w:name="macro" w:locked="0" w:semiHidden="1" w:unhideWhenUsed="1"/>
    <w:lsdException w:name="toa heading" w:semiHidden="1" w:unhideWhenUsed="1"/>
    <w:lsdException w:name="List" w:semiHidden="1" w:unhideWhenUsed="1"/>
    <w:lsdException w:name="List Bullet" w:locked="0" w:semiHidden="1" w:uiPriority="0"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locked="0"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locked="0" w:semiHidden="1" w:unhideWhenUsed="1"/>
    <w:lsdException w:name="List Continue" w:locked="0" w:uiPriority="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locked="0" w:semiHidden="1" w:uiPriority="0" w:unhideWhenUsed="1"/>
    <w:lsdException w:name="Body Text First Indent" w:locked="0" w:semiHidden="1" w:unhideWhenUsed="1"/>
    <w:lsdException w:name="Body Text First Indent 2" w:semiHidden="1" w:unhideWhenUsed="1"/>
    <w:lsdException w:name="Note Heading"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semiHidden="1" w:uiPriority="20" w:unhideWhenUsed="1"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semiHidden="1" w:unhideWhenUsed="1"/>
    <w:lsdException w:name="HTML Code" w:locked="0" w:semiHidden="1" w:unhideWhenUsed="1"/>
    <w:lsdException w:name="HTML Definition" w:locked="0"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34" w:unhideWhenUsed="1"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qFormat="1"/>
    <w:lsdException w:name="Intense Emphasis" w:locked="0" w:semiHidden="1" w:uiPriority="21" w:unhideWhenUsed="1"/>
    <w:lsdException w:name="Subtle Reference" w:locked="0" w:semiHidden="1" w:uiPriority="31" w:unhideWhenUsed="1" w:qFormat="1"/>
    <w:lsdException w:name="Intense Reference" w:semiHidden="1" w:uiPriority="32" w:unhideWhenUsed="1"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uiPriority w:val="2"/>
    <w:unhideWhenUsed/>
    <w:qFormat/>
    <w:rsid w:val="002B74EE"/>
  </w:style>
  <w:style w:type="paragraph" w:styleId="Heading1">
    <w:name w:val="heading 1"/>
    <w:basedOn w:val="Normal"/>
    <w:next w:val="BodyText"/>
    <w:link w:val="Heading1Char"/>
    <w:qFormat/>
    <w:rsid w:val="00D831D1"/>
    <w:pPr>
      <w:keepNext/>
      <w:keepLines/>
      <w:spacing w:before="450" w:after="180" w:line="480" w:lineRule="exact"/>
      <w:contextualSpacing/>
      <w:outlineLvl w:val="0"/>
    </w:pPr>
    <w:rPr>
      <w:rFonts w:asciiTheme="majorHAnsi" w:eastAsia="Calibri" w:hAnsiTheme="majorHAnsi"/>
      <w:b/>
      <w:color w:val="005395" w:themeColor="text2"/>
      <w:sz w:val="48"/>
    </w:rPr>
  </w:style>
  <w:style w:type="paragraph" w:styleId="Heading2">
    <w:name w:val="heading 2"/>
    <w:basedOn w:val="Heading1"/>
    <w:next w:val="Normal"/>
    <w:link w:val="Heading2Char"/>
    <w:qFormat/>
    <w:rsid w:val="00882A7B"/>
    <w:pPr>
      <w:spacing w:before="540" w:after="90" w:line="260" w:lineRule="exact"/>
      <w:outlineLvl w:val="1"/>
    </w:pPr>
    <w:rPr>
      <w:rFonts w:ascii="Sitka Text" w:hAnsi="Sitka Text"/>
      <w:sz w:val="24"/>
    </w:rPr>
  </w:style>
  <w:style w:type="paragraph" w:styleId="Heading3">
    <w:name w:val="heading 3"/>
    <w:basedOn w:val="Normal"/>
    <w:next w:val="Normal"/>
    <w:link w:val="Heading3Char"/>
    <w:uiPriority w:val="9"/>
    <w:semiHidden/>
    <w:unhideWhenUsed/>
    <w:qFormat/>
    <w:rsid w:val="00242DF6"/>
    <w:pPr>
      <w:keepNext/>
      <w:keepLines/>
      <w:spacing w:before="160" w:after="80"/>
      <w:outlineLvl w:val="2"/>
    </w:pPr>
    <w:rPr>
      <w:rFonts w:eastAsiaTheme="majorEastAsia" w:cstheme="majorBidi"/>
      <w:color w:val="AF6B1B" w:themeColor="accent1" w:themeShade="BF"/>
      <w:sz w:val="28"/>
      <w:szCs w:val="28"/>
    </w:rPr>
  </w:style>
  <w:style w:type="paragraph" w:styleId="Heading4">
    <w:name w:val="heading 4"/>
    <w:basedOn w:val="Normal"/>
    <w:next w:val="Normal"/>
    <w:link w:val="Heading4Char"/>
    <w:uiPriority w:val="9"/>
    <w:semiHidden/>
    <w:unhideWhenUsed/>
    <w:qFormat/>
    <w:locked/>
    <w:rsid w:val="00242DF6"/>
    <w:pPr>
      <w:keepNext/>
      <w:keepLines/>
      <w:spacing w:before="80" w:after="40"/>
      <w:outlineLvl w:val="3"/>
    </w:pPr>
    <w:rPr>
      <w:rFonts w:eastAsiaTheme="majorEastAsia" w:cstheme="majorBidi"/>
      <w:i/>
      <w:iCs/>
      <w:color w:val="AF6B1B" w:themeColor="accent1" w:themeShade="BF"/>
    </w:rPr>
  </w:style>
  <w:style w:type="paragraph" w:styleId="Heading5">
    <w:name w:val="heading 5"/>
    <w:basedOn w:val="Normal"/>
    <w:next w:val="Normal"/>
    <w:link w:val="Heading5Char"/>
    <w:uiPriority w:val="9"/>
    <w:semiHidden/>
    <w:unhideWhenUsed/>
    <w:qFormat/>
    <w:locked/>
    <w:rsid w:val="00242DF6"/>
    <w:pPr>
      <w:keepNext/>
      <w:keepLines/>
      <w:spacing w:before="80" w:after="40"/>
      <w:outlineLvl w:val="4"/>
    </w:pPr>
    <w:rPr>
      <w:rFonts w:eastAsiaTheme="majorEastAsia" w:cstheme="majorBidi"/>
      <w:color w:val="AF6B1B" w:themeColor="accent1" w:themeShade="BF"/>
    </w:rPr>
  </w:style>
  <w:style w:type="paragraph" w:styleId="Heading6">
    <w:name w:val="heading 6"/>
    <w:basedOn w:val="Normal"/>
    <w:next w:val="Normal"/>
    <w:link w:val="Heading6Char"/>
    <w:uiPriority w:val="9"/>
    <w:semiHidden/>
    <w:unhideWhenUsed/>
    <w:qFormat/>
    <w:locked/>
    <w:rsid w:val="00242DF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locked/>
    <w:rsid w:val="00242DF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locked/>
    <w:rsid w:val="00242DF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locked/>
    <w:rsid w:val="00242DF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31D1"/>
    <w:rPr>
      <w:rFonts w:asciiTheme="majorHAnsi" w:eastAsia="Calibri" w:hAnsiTheme="majorHAnsi"/>
      <w:b/>
      <w:color w:val="005395" w:themeColor="text2"/>
      <w:sz w:val="48"/>
      <w:szCs w:val="20"/>
    </w:rPr>
  </w:style>
  <w:style w:type="character" w:customStyle="1" w:styleId="Heading2Char">
    <w:name w:val="Heading 2 Char"/>
    <w:basedOn w:val="DefaultParagraphFont"/>
    <w:link w:val="Heading2"/>
    <w:rsid w:val="00882A7B"/>
    <w:rPr>
      <w:rFonts w:ascii="Sitka Text" w:eastAsia="Calibri" w:hAnsi="Sitka Text"/>
      <w:b/>
      <w:color w:val="005395" w:themeColor="text2"/>
      <w:sz w:val="24"/>
    </w:rPr>
  </w:style>
  <w:style w:type="character" w:customStyle="1" w:styleId="Heading3Char">
    <w:name w:val="Heading 3 Char"/>
    <w:basedOn w:val="DefaultParagraphFont"/>
    <w:link w:val="Heading3"/>
    <w:uiPriority w:val="9"/>
    <w:semiHidden/>
    <w:rsid w:val="00242DF6"/>
    <w:rPr>
      <w:rFonts w:eastAsiaTheme="majorEastAsia" w:cstheme="majorBidi"/>
      <w:color w:val="AF6B1B" w:themeColor="accent1" w:themeShade="BF"/>
      <w:sz w:val="28"/>
      <w:szCs w:val="28"/>
    </w:rPr>
  </w:style>
  <w:style w:type="character" w:customStyle="1" w:styleId="Heading4Char">
    <w:name w:val="Heading 4 Char"/>
    <w:basedOn w:val="DefaultParagraphFont"/>
    <w:link w:val="Heading4"/>
    <w:uiPriority w:val="9"/>
    <w:semiHidden/>
    <w:rsid w:val="00242DF6"/>
    <w:rPr>
      <w:rFonts w:eastAsiaTheme="majorEastAsia" w:cstheme="majorBidi"/>
      <w:i/>
      <w:iCs/>
      <w:color w:val="AF6B1B" w:themeColor="accent1" w:themeShade="BF"/>
    </w:rPr>
  </w:style>
  <w:style w:type="character" w:customStyle="1" w:styleId="Heading5Char">
    <w:name w:val="Heading 5 Char"/>
    <w:basedOn w:val="DefaultParagraphFont"/>
    <w:link w:val="Heading5"/>
    <w:uiPriority w:val="9"/>
    <w:semiHidden/>
    <w:rsid w:val="00242DF6"/>
    <w:rPr>
      <w:rFonts w:eastAsiaTheme="majorEastAsia" w:cstheme="majorBidi"/>
      <w:color w:val="AF6B1B" w:themeColor="accent1" w:themeShade="BF"/>
    </w:rPr>
  </w:style>
  <w:style w:type="character" w:customStyle="1" w:styleId="Heading6Char">
    <w:name w:val="Heading 6 Char"/>
    <w:basedOn w:val="DefaultParagraphFont"/>
    <w:link w:val="Heading6"/>
    <w:uiPriority w:val="9"/>
    <w:semiHidden/>
    <w:rsid w:val="00242D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2D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2D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2DF6"/>
    <w:rPr>
      <w:rFonts w:eastAsiaTheme="majorEastAsia" w:cstheme="majorBidi"/>
      <w:color w:val="272727" w:themeColor="text1" w:themeTint="D8"/>
    </w:rPr>
  </w:style>
  <w:style w:type="paragraph" w:styleId="Title">
    <w:name w:val="Title"/>
    <w:basedOn w:val="Normal"/>
    <w:next w:val="Normal"/>
    <w:link w:val="TitleChar"/>
    <w:qFormat/>
    <w:rsid w:val="00242DF6"/>
    <w:pPr>
      <w:spacing w:before="1320" w:after="90" w:line="880" w:lineRule="exact"/>
      <w:contextualSpacing/>
      <w:outlineLvl w:val="0"/>
    </w:pPr>
    <w:rPr>
      <w:rFonts w:ascii="Sitka Display Semibold" w:eastAsiaTheme="majorEastAsia" w:hAnsi="Sitka Display Semibold" w:cstheme="majorBidi"/>
      <w:color w:val="005395" w:themeColor="text2"/>
      <w:kern w:val="0"/>
      <w:sz w:val="88"/>
      <w:szCs w:val="56"/>
    </w:rPr>
  </w:style>
  <w:style w:type="character" w:customStyle="1" w:styleId="TitleChar">
    <w:name w:val="Title Char"/>
    <w:basedOn w:val="DefaultParagraphFont"/>
    <w:link w:val="Title"/>
    <w:rsid w:val="00242DF6"/>
    <w:rPr>
      <w:rFonts w:ascii="Sitka Display Semibold" w:eastAsiaTheme="majorEastAsia" w:hAnsi="Sitka Display Semibold" w:cstheme="majorBidi"/>
      <w:color w:val="005395" w:themeColor="text2"/>
      <w:kern w:val="0"/>
      <w:sz w:val="88"/>
      <w:szCs w:val="56"/>
    </w:rPr>
  </w:style>
  <w:style w:type="paragraph" w:styleId="Subtitle">
    <w:name w:val="Subtitle"/>
    <w:basedOn w:val="Normal"/>
    <w:next w:val="Author"/>
    <w:link w:val="SubtitleChar"/>
    <w:qFormat/>
    <w:rsid w:val="00242DF6"/>
    <w:pPr>
      <w:numPr>
        <w:ilvl w:val="1"/>
      </w:numPr>
      <w:spacing w:after="270" w:line="680" w:lineRule="exact"/>
    </w:pPr>
    <w:rPr>
      <w:rFonts w:asciiTheme="majorHAnsi" w:eastAsiaTheme="majorEastAsia" w:hAnsiTheme="majorHAnsi" w:cstheme="majorBidi"/>
      <w:color w:val="005395" w:themeColor="text2"/>
      <w:kern w:val="0"/>
      <w:sz w:val="68"/>
      <w:szCs w:val="28"/>
    </w:rPr>
  </w:style>
  <w:style w:type="character" w:customStyle="1" w:styleId="SubtitleChar">
    <w:name w:val="Subtitle Char"/>
    <w:basedOn w:val="DefaultParagraphFont"/>
    <w:link w:val="Subtitle"/>
    <w:rsid w:val="00242DF6"/>
    <w:rPr>
      <w:rFonts w:asciiTheme="majorHAnsi" w:eastAsiaTheme="majorEastAsia" w:hAnsiTheme="majorHAnsi" w:cstheme="majorBidi"/>
      <w:color w:val="005395" w:themeColor="text2"/>
      <w:kern w:val="0"/>
      <w:sz w:val="68"/>
      <w:szCs w:val="28"/>
    </w:rPr>
  </w:style>
  <w:style w:type="paragraph" w:styleId="FootnoteText">
    <w:name w:val="footnote text"/>
    <w:basedOn w:val="Normal"/>
    <w:link w:val="FootnoteTextChar"/>
    <w:uiPriority w:val="99"/>
    <w:rsid w:val="001B02B9"/>
    <w:pPr>
      <w:spacing w:after="120" w:line="200" w:lineRule="exact"/>
      <w:ind w:left="360" w:hanging="360"/>
      <w:contextualSpacing/>
      <w:jc w:val="both"/>
    </w:pPr>
    <w:rPr>
      <w:color w:val="000000" w:themeColor="text1"/>
      <w:sz w:val="16"/>
    </w:rPr>
  </w:style>
  <w:style w:type="character" w:customStyle="1" w:styleId="FootnoteTextChar">
    <w:name w:val="Footnote Text Char"/>
    <w:basedOn w:val="DefaultParagraphFont"/>
    <w:link w:val="FootnoteText"/>
    <w:uiPriority w:val="99"/>
    <w:rsid w:val="001B02B9"/>
    <w:rPr>
      <w:color w:val="000000" w:themeColor="text1"/>
      <w:sz w:val="16"/>
    </w:rPr>
  </w:style>
  <w:style w:type="paragraph" w:styleId="ListContinue">
    <w:name w:val="List Continue"/>
    <w:basedOn w:val="Normal"/>
    <w:uiPriority w:val="1"/>
    <w:rsid w:val="00977B5C"/>
    <w:pPr>
      <w:spacing w:after="120" w:line="260" w:lineRule="exact"/>
      <w:ind w:left="360"/>
      <w:contextualSpacing/>
      <w:jc w:val="both"/>
    </w:pPr>
  </w:style>
  <w:style w:type="character" w:styleId="FootnoteReference">
    <w:name w:val="footnote reference"/>
    <w:basedOn w:val="DefaultParagraphFont"/>
    <w:uiPriority w:val="99"/>
    <w:rsid w:val="00012242"/>
    <w:rPr>
      <w:rFonts w:asciiTheme="minorHAnsi" w:hAnsiTheme="minorHAnsi"/>
      <w:color w:val="000000" w:themeColor="text1"/>
      <w:sz w:val="20"/>
      <w:vertAlign w:val="superscript"/>
    </w:rPr>
  </w:style>
  <w:style w:type="paragraph" w:customStyle="1" w:styleId="Heading1topofsection">
    <w:name w:val="Heading 1_top of section"/>
    <w:basedOn w:val="Heading1"/>
    <w:uiPriority w:val="2"/>
    <w:qFormat/>
    <w:rsid w:val="00E81BE5"/>
    <w:pPr>
      <w:spacing w:before="0"/>
    </w:pPr>
  </w:style>
  <w:style w:type="paragraph" w:customStyle="1" w:styleId="Footerspacer">
    <w:name w:val="Footer spacer"/>
    <w:basedOn w:val="Footer"/>
    <w:uiPriority w:val="2"/>
    <w:semiHidden/>
    <w:qFormat/>
    <w:rsid w:val="00E81BE5"/>
    <w:rPr>
      <w:b/>
      <w:sz w:val="12"/>
    </w:rPr>
  </w:style>
  <w:style w:type="paragraph" w:styleId="EndnoteText">
    <w:name w:val="endnote text"/>
    <w:aliases w:val="Endnote Text Char Char Char Char Char Char"/>
    <w:basedOn w:val="Normal"/>
    <w:link w:val="EndnoteTextChar"/>
    <w:uiPriority w:val="99"/>
    <w:qFormat/>
    <w:rsid w:val="008B43B3"/>
    <w:pPr>
      <w:tabs>
        <w:tab w:val="left" w:pos="360"/>
      </w:tabs>
      <w:spacing w:line="200" w:lineRule="exact"/>
      <w:ind w:left="360" w:hanging="360"/>
    </w:pPr>
    <w:rPr>
      <w:color w:val="000000" w:themeColor="text1"/>
      <w:sz w:val="16"/>
    </w:rPr>
  </w:style>
  <w:style w:type="paragraph" w:customStyle="1" w:styleId="Author">
    <w:name w:val="Author"/>
    <w:basedOn w:val="Normal"/>
    <w:next w:val="BodyText"/>
    <w:link w:val="AuthorChar"/>
    <w:qFormat/>
    <w:rsid w:val="00242DF6"/>
    <w:pPr>
      <w:snapToGrid w:val="0"/>
      <w:spacing w:line="280" w:lineRule="exact"/>
    </w:pPr>
    <w:rPr>
      <w:rFonts w:eastAsia="Times New Roman" w:cs="Gill Sans"/>
      <w:b/>
      <w:iCs/>
      <w:noProof/>
      <w:color w:val="000000" w:themeColor="text1"/>
      <w:kern w:val="0"/>
      <w:szCs w:val="22"/>
    </w:rPr>
  </w:style>
  <w:style w:type="character" w:customStyle="1" w:styleId="AuthorChar">
    <w:name w:val="Author Char"/>
    <w:basedOn w:val="DefaultParagraphFont"/>
    <w:link w:val="Author"/>
    <w:rsid w:val="00242DF6"/>
    <w:rPr>
      <w:rFonts w:eastAsia="Times New Roman" w:cs="Gill Sans"/>
      <w:b/>
      <w:iCs/>
      <w:noProof/>
      <w:color w:val="000000" w:themeColor="text1"/>
      <w:kern w:val="0"/>
      <w:sz w:val="20"/>
      <w:szCs w:val="22"/>
    </w:rPr>
  </w:style>
  <w:style w:type="paragraph" w:styleId="BodyText">
    <w:name w:val="Body Text"/>
    <w:basedOn w:val="Normal"/>
    <w:link w:val="BodyTextChar"/>
    <w:qFormat/>
    <w:rsid w:val="007F4815"/>
    <w:pPr>
      <w:suppressAutoHyphens/>
      <w:spacing w:after="270" w:line="260" w:lineRule="exact"/>
      <w:jc w:val="both"/>
    </w:pPr>
    <w:rPr>
      <w:color w:val="000000" w:themeColor="text1"/>
    </w:rPr>
  </w:style>
  <w:style w:type="character" w:customStyle="1" w:styleId="BodyTextChar">
    <w:name w:val="Body Text Char"/>
    <w:basedOn w:val="DefaultParagraphFont"/>
    <w:link w:val="BodyText"/>
    <w:rsid w:val="007F4815"/>
    <w:rPr>
      <w:color w:val="000000" w:themeColor="text1"/>
    </w:rPr>
  </w:style>
  <w:style w:type="character" w:customStyle="1" w:styleId="AuthorAffiliation">
    <w:name w:val="Author Affiliation"/>
    <w:basedOn w:val="AuthorChar"/>
    <w:qFormat/>
    <w:rsid w:val="00242DF6"/>
    <w:rPr>
      <w:rFonts w:asciiTheme="minorHAnsi" w:eastAsia="Times New Roman" w:hAnsiTheme="minorHAnsi" w:cs="Gill Sans"/>
      <w:b/>
      <w:bCs/>
      <w:i/>
      <w:iCs/>
      <w:noProof/>
      <w:color w:val="000000" w:themeColor="text1"/>
      <w:kern w:val="0"/>
      <w:sz w:val="20"/>
      <w:szCs w:val="22"/>
    </w:rPr>
  </w:style>
  <w:style w:type="paragraph" w:styleId="Date">
    <w:name w:val="Date"/>
    <w:next w:val="Normal"/>
    <w:link w:val="DateChar"/>
    <w:rsid w:val="00D07A7D"/>
    <w:pPr>
      <w:spacing w:before="270" w:line="220" w:lineRule="exact"/>
    </w:pPr>
    <w:rPr>
      <w:rFonts w:ascii="Segoe UI" w:eastAsia="Cambria" w:hAnsi="Segoe UI" w:cs="Gill Sans"/>
      <w:b/>
      <w:iCs/>
      <w:caps/>
      <w:color w:val="6D6C69"/>
      <w:kern w:val="0"/>
      <w:sz w:val="18"/>
    </w:rPr>
  </w:style>
  <w:style w:type="character" w:customStyle="1" w:styleId="DateChar">
    <w:name w:val="Date Char"/>
    <w:basedOn w:val="DefaultParagraphFont"/>
    <w:link w:val="Date"/>
    <w:rsid w:val="00D07A7D"/>
    <w:rPr>
      <w:rFonts w:ascii="Segoe UI" w:eastAsia="Cambria" w:hAnsi="Segoe UI" w:cs="Gill Sans"/>
      <w:b/>
      <w:iCs/>
      <w:caps/>
      <w:color w:val="6D6C69"/>
      <w:kern w:val="0"/>
      <w:sz w:val="18"/>
      <w:szCs w:val="20"/>
    </w:rPr>
  </w:style>
  <w:style w:type="paragraph" w:styleId="Footer">
    <w:name w:val="footer"/>
    <w:basedOn w:val="Normal"/>
    <w:link w:val="FooterChar"/>
    <w:uiPriority w:val="99"/>
    <w:qFormat/>
    <w:rsid w:val="002B74EE"/>
    <w:pPr>
      <w:jc w:val="right"/>
    </w:pPr>
    <w:rPr>
      <w:rFonts w:ascii="Segoe UI Semibold" w:hAnsi="Segoe UI Semibold"/>
      <w:sz w:val="18"/>
      <w:szCs w:val="11"/>
    </w:rPr>
  </w:style>
  <w:style w:type="character" w:customStyle="1" w:styleId="FooterChar">
    <w:name w:val="Footer Char"/>
    <w:basedOn w:val="DefaultParagraphFont"/>
    <w:link w:val="Footer"/>
    <w:uiPriority w:val="99"/>
    <w:rsid w:val="002B74EE"/>
    <w:rPr>
      <w:rFonts w:ascii="Segoe UI Semibold" w:hAnsi="Segoe UI Semibold"/>
      <w:sz w:val="18"/>
      <w:szCs w:val="11"/>
    </w:rPr>
  </w:style>
  <w:style w:type="paragraph" w:styleId="ListBullet">
    <w:name w:val="List Bullet"/>
    <w:basedOn w:val="Normal"/>
    <w:rsid w:val="00977B5C"/>
    <w:pPr>
      <w:numPr>
        <w:numId w:val="2"/>
      </w:numPr>
      <w:suppressAutoHyphens/>
      <w:spacing w:after="270" w:line="260" w:lineRule="exact"/>
      <w:jc w:val="both"/>
    </w:pPr>
  </w:style>
  <w:style w:type="paragraph" w:styleId="ListNumber">
    <w:name w:val="List Number"/>
    <w:basedOn w:val="ListBullet"/>
    <w:rsid w:val="00F45D2F"/>
    <w:pPr>
      <w:numPr>
        <w:numId w:val="4"/>
      </w:numPr>
    </w:pPr>
  </w:style>
  <w:style w:type="paragraph" w:styleId="Header">
    <w:name w:val="header"/>
    <w:basedOn w:val="Normal"/>
    <w:link w:val="HeaderChar"/>
    <w:uiPriority w:val="99"/>
    <w:unhideWhenUsed/>
    <w:rsid w:val="003B416E"/>
    <w:pPr>
      <w:tabs>
        <w:tab w:val="center" w:pos="4680"/>
        <w:tab w:val="right" w:pos="9360"/>
      </w:tabs>
    </w:pPr>
  </w:style>
  <w:style w:type="character" w:customStyle="1" w:styleId="HeaderChar">
    <w:name w:val="Header Char"/>
    <w:basedOn w:val="DefaultParagraphFont"/>
    <w:link w:val="Header"/>
    <w:uiPriority w:val="99"/>
    <w:rsid w:val="003B416E"/>
    <w:rPr>
      <w:rFonts w:eastAsia="Cambria"/>
      <w:sz w:val="20"/>
      <w:szCs w:val="20"/>
    </w:rPr>
  </w:style>
  <w:style w:type="paragraph" w:customStyle="1" w:styleId="IssueBrief">
    <w:name w:val="Issue Brief"/>
    <w:basedOn w:val="Normal"/>
    <w:uiPriority w:val="2"/>
    <w:qFormat/>
    <w:rsid w:val="002A28C7"/>
    <w:pPr>
      <w:jc w:val="center"/>
    </w:pPr>
    <w:rPr>
      <w:b/>
      <w:caps/>
      <w:color w:val="FFFFFF" w:themeColor="background1"/>
      <w:spacing w:val="20"/>
    </w:rPr>
  </w:style>
  <w:style w:type="paragraph" w:styleId="BlockText">
    <w:name w:val="Block Text"/>
    <w:basedOn w:val="Normal"/>
    <w:next w:val="BodyText"/>
    <w:uiPriority w:val="1"/>
    <w:rsid w:val="00210A29"/>
    <w:pPr>
      <w:pBdr>
        <w:top w:val="single" w:sz="48" w:space="0" w:color="FFFFFF" w:themeColor="background1"/>
        <w:left w:val="single" w:sz="12" w:space="16" w:color="DF8F2F" w:themeColor="accent1"/>
        <w:bottom w:val="single" w:sz="48" w:space="3" w:color="FFFFFF" w:themeColor="background1"/>
      </w:pBdr>
      <w:spacing w:before="120" w:after="120" w:line="300" w:lineRule="exact"/>
      <w:ind w:left="360"/>
    </w:pPr>
    <w:rPr>
      <w:rFonts w:ascii="Sitka Text" w:hAnsi="Sitka Text"/>
      <w:b/>
      <w:iCs/>
      <w:color w:val="005395" w:themeColor="text2"/>
      <w:kern w:val="0"/>
      <w:sz w:val="24"/>
    </w:rPr>
  </w:style>
  <w:style w:type="character" w:styleId="CommentReference">
    <w:name w:val="annotation reference"/>
    <w:basedOn w:val="DefaultParagraphFont"/>
    <w:uiPriority w:val="99"/>
    <w:semiHidden/>
    <w:unhideWhenUsed/>
    <w:rsid w:val="001530BD"/>
    <w:rPr>
      <w:sz w:val="16"/>
      <w:szCs w:val="16"/>
    </w:rPr>
  </w:style>
  <w:style w:type="paragraph" w:styleId="CommentText">
    <w:name w:val="annotation text"/>
    <w:basedOn w:val="Normal"/>
    <w:link w:val="CommentTextChar"/>
    <w:uiPriority w:val="99"/>
    <w:unhideWhenUsed/>
    <w:rsid w:val="001530BD"/>
  </w:style>
  <w:style w:type="character" w:customStyle="1" w:styleId="CommentTextChar">
    <w:name w:val="Comment Text Char"/>
    <w:basedOn w:val="DefaultParagraphFont"/>
    <w:link w:val="CommentText"/>
    <w:uiPriority w:val="99"/>
    <w:rsid w:val="001530BD"/>
    <w:rPr>
      <w:rFonts w:eastAsia="Cambria"/>
      <w:sz w:val="20"/>
      <w:szCs w:val="20"/>
    </w:rPr>
  </w:style>
  <w:style w:type="paragraph" w:styleId="CommentSubject">
    <w:name w:val="annotation subject"/>
    <w:basedOn w:val="CommentText"/>
    <w:next w:val="CommentText"/>
    <w:link w:val="CommentSubjectChar"/>
    <w:uiPriority w:val="99"/>
    <w:semiHidden/>
    <w:unhideWhenUsed/>
    <w:rsid w:val="001530BD"/>
    <w:rPr>
      <w:b/>
      <w:bCs/>
    </w:rPr>
  </w:style>
  <w:style w:type="character" w:customStyle="1" w:styleId="CommentSubjectChar">
    <w:name w:val="Comment Subject Char"/>
    <w:basedOn w:val="CommentTextChar"/>
    <w:link w:val="CommentSubject"/>
    <w:uiPriority w:val="99"/>
    <w:semiHidden/>
    <w:rsid w:val="001530BD"/>
    <w:rPr>
      <w:rFonts w:eastAsia="Cambria"/>
      <w:b/>
      <w:bCs/>
      <w:sz w:val="20"/>
      <w:szCs w:val="20"/>
    </w:rPr>
  </w:style>
  <w:style w:type="paragraph" w:customStyle="1" w:styleId="FigureTableTitle">
    <w:name w:val="Figure/Table Title"/>
    <w:basedOn w:val="Normal"/>
    <w:next w:val="Normal"/>
    <w:link w:val="FigureTableTitleChar"/>
    <w:uiPriority w:val="2"/>
    <w:qFormat/>
    <w:rsid w:val="00544914"/>
    <w:pPr>
      <w:keepNext/>
      <w:pBdr>
        <w:bottom w:val="single" w:sz="12" w:space="5" w:color="DF8F2F" w:themeColor="accent1"/>
      </w:pBdr>
      <w:spacing w:before="480" w:after="240" w:line="240" w:lineRule="exact"/>
    </w:pPr>
    <w:rPr>
      <w:b/>
      <w:color w:val="005395" w:themeColor="text2"/>
      <w:kern w:val="0"/>
      <w:u w:color="DF8F2F" w:themeColor="accent1"/>
      <w14:ligatures w14:val="none"/>
    </w:rPr>
  </w:style>
  <w:style w:type="character" w:customStyle="1" w:styleId="FigureTableTitleChar">
    <w:name w:val="Figure/Table Title Char"/>
    <w:basedOn w:val="DefaultParagraphFont"/>
    <w:link w:val="FigureTableTitle"/>
    <w:uiPriority w:val="2"/>
    <w:rsid w:val="00544914"/>
    <w:rPr>
      <w:b/>
      <w:color w:val="005395" w:themeColor="text2"/>
      <w:kern w:val="0"/>
      <w:u w:color="DF8F2F" w:themeColor="accent1"/>
      <w14:ligatures w14:val="none"/>
    </w:rPr>
  </w:style>
  <w:style w:type="paragraph" w:customStyle="1" w:styleId="FigureTableNoteSource">
    <w:name w:val="Figure/Table Note/Source"/>
    <w:uiPriority w:val="2"/>
    <w:qFormat/>
    <w:rsid w:val="00B8025B"/>
    <w:pPr>
      <w:spacing w:after="360" w:line="200" w:lineRule="exact"/>
    </w:pPr>
    <w:rPr>
      <w:rFonts w:eastAsia="Cambria"/>
      <w:color w:val="000000" w:themeColor="text1"/>
      <w:kern w:val="0"/>
      <w:sz w:val="16"/>
      <w:u w:color="DF8F2F" w:themeColor="accent1"/>
      <w14:ligatures w14:val="none"/>
    </w:rPr>
  </w:style>
  <w:style w:type="table" w:styleId="TableGrid">
    <w:name w:val="Table Grid"/>
    <w:basedOn w:val="TableNormal"/>
    <w:uiPriority w:val="39"/>
    <w:locked/>
    <w:rsid w:val="00BB6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ableNoteSourceLead-In">
    <w:name w:val="Figure/Table Note/Source Lead-In"/>
    <w:uiPriority w:val="1"/>
    <w:qFormat/>
    <w:rsid w:val="00544914"/>
    <w:rPr>
      <w:rFonts w:asciiTheme="minorHAnsi" w:hAnsiTheme="minorHAnsi"/>
      <w:i/>
      <w:color w:val="auto"/>
      <w:sz w:val="16"/>
    </w:rPr>
  </w:style>
  <w:style w:type="paragraph" w:customStyle="1" w:styleId="TableColumnHeader">
    <w:name w:val="Table Column Header"/>
    <w:basedOn w:val="Normal"/>
    <w:uiPriority w:val="2"/>
    <w:qFormat/>
    <w:rsid w:val="00C47318"/>
    <w:pPr>
      <w:spacing w:line="240" w:lineRule="exact"/>
    </w:pPr>
    <w:rPr>
      <w:color w:val="F8F8F8" w:themeColor="accent3"/>
    </w:rPr>
  </w:style>
  <w:style w:type="table" w:customStyle="1" w:styleId="USCCStandardTable">
    <w:name w:val="USCC Standard Table"/>
    <w:basedOn w:val="TableNormal"/>
    <w:uiPriority w:val="99"/>
    <w:rsid w:val="00B8025B"/>
    <w:rPr>
      <w:sz w:val="18"/>
    </w:rPr>
    <w:tblPr>
      <w:tblStyleRowBandSize w:val="1"/>
    </w:tbl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exact"/>
        <w:jc w:val="left"/>
        <w:outlineLvl w:val="9"/>
      </w:pPr>
      <w:rPr>
        <w:rFonts w:asciiTheme="minorHAnsi" w:hAnsiTheme="minorHAnsi"/>
        <w:b/>
        <w:color w:val="FFFFFF" w:themeColor="background1"/>
        <w:sz w:val="20"/>
      </w:rPr>
      <w:tblPr/>
      <w:tcPr>
        <w:shd w:val="clear" w:color="auto" w:fill="005395" w:themeFill="text2"/>
        <w:noWrap/>
        <w:tcMar>
          <w:top w:w="119" w:type="dxa"/>
          <w:left w:w="115" w:type="dxa"/>
          <w:bottom w:w="119" w:type="dxa"/>
          <w:right w:w="115" w:type="dxa"/>
        </w:tcMar>
        <w:vAlign w:val="center"/>
      </w:tcPr>
    </w:tblStylePr>
    <w:tblStylePr w:type="firstCol">
      <w:pPr>
        <w:wordWrap/>
        <w:spacing w:afterLines="0" w:after="0" w:afterAutospacing="0" w:line="240" w:lineRule="exact"/>
      </w:pPr>
      <w:rPr>
        <w:rFonts w:asciiTheme="minorHAnsi" w:hAnsiTheme="minorHAnsi"/>
        <w:b/>
        <w:color w:val="005395" w:themeColor="text2"/>
        <w:sz w:val="20"/>
      </w:rPr>
    </w:tblStylePr>
    <w:tblStylePr w:type="band1Horz">
      <w:pPr>
        <w:wordWrap/>
        <w:spacing w:afterLines="0" w:after="0" w:afterAutospacing="0" w:line="240" w:lineRule="exact"/>
        <w:jc w:val="left"/>
        <w:outlineLvl w:val="9"/>
      </w:pPr>
      <w:rPr>
        <w:rFonts w:asciiTheme="minorHAnsi" w:hAnsiTheme="minorHAnsi"/>
        <w:sz w:val="18"/>
      </w:rPr>
      <w:tblPr/>
      <w:tcPr>
        <w:shd w:val="clear" w:color="auto" w:fill="FFFFFF" w:themeFill="background1"/>
        <w:noWrap/>
        <w:tcMar>
          <w:top w:w="119" w:type="dxa"/>
          <w:left w:w="108" w:type="dxa"/>
          <w:bottom w:w="119" w:type="dxa"/>
          <w:right w:w="108" w:type="dxa"/>
        </w:tcMar>
      </w:tcPr>
    </w:tblStylePr>
    <w:tblStylePr w:type="band2Horz">
      <w:pPr>
        <w:wordWrap/>
        <w:spacing w:afterLines="0" w:after="0" w:afterAutospacing="0" w:line="240" w:lineRule="exact"/>
        <w:jc w:val="left"/>
      </w:pPr>
      <w:rPr>
        <w:rFonts w:asciiTheme="minorHAnsi" w:hAnsiTheme="minorHAnsi"/>
        <w:color w:val="000000" w:themeColor="text1"/>
        <w:sz w:val="18"/>
      </w:rPr>
      <w:tblPr/>
      <w:tcPr>
        <w:shd w:val="clear" w:color="auto" w:fill="E8ECF1"/>
        <w:noWrap/>
        <w:tcMar>
          <w:top w:w="115" w:type="dxa"/>
          <w:left w:w="115" w:type="dxa"/>
          <w:bottom w:w="115" w:type="dxa"/>
          <w:right w:w="115" w:type="dxa"/>
        </w:tcMar>
      </w:tcPr>
    </w:tblStylePr>
  </w:style>
  <w:style w:type="paragraph" w:customStyle="1" w:styleId="TableBodyText">
    <w:name w:val="Table Body Text"/>
    <w:basedOn w:val="Normal"/>
    <w:uiPriority w:val="2"/>
    <w:qFormat/>
    <w:rsid w:val="005B3594"/>
    <w:pPr>
      <w:widowControl w:val="0"/>
      <w:suppressAutoHyphens/>
      <w:spacing w:line="240" w:lineRule="exact"/>
    </w:pPr>
    <w:rPr>
      <w:rFonts w:ascii="Segoe UI" w:hAnsi="Segoe UI"/>
      <w:sz w:val="18"/>
    </w:rPr>
  </w:style>
  <w:style w:type="paragraph" w:customStyle="1" w:styleId="TextboxHeading">
    <w:name w:val="Textbox Heading"/>
    <w:basedOn w:val="FigureTableTitle"/>
    <w:uiPriority w:val="2"/>
    <w:qFormat/>
    <w:rsid w:val="003A1927"/>
    <w:pPr>
      <w:spacing w:before="0"/>
    </w:pPr>
  </w:style>
  <w:style w:type="paragraph" w:customStyle="1" w:styleId="TextboxBodyText">
    <w:name w:val="Textbox Body Text"/>
    <w:basedOn w:val="TextboxHeading"/>
    <w:uiPriority w:val="2"/>
    <w:qFormat/>
    <w:rsid w:val="00544914"/>
    <w:pPr>
      <w:keepNext w:val="0"/>
      <w:pBdr>
        <w:bottom w:val="none" w:sz="0" w:space="0" w:color="auto"/>
      </w:pBdr>
      <w:suppressAutoHyphens/>
      <w:spacing w:line="260" w:lineRule="exact"/>
      <w:jc w:val="both"/>
      <w:textboxTightWrap w:val="allLines"/>
    </w:pPr>
    <w:rPr>
      <w:b w:val="0"/>
      <w:color w:val="000000" w:themeColor="text1"/>
    </w:rPr>
  </w:style>
  <w:style w:type="paragraph" w:customStyle="1" w:styleId="TextboxBullet">
    <w:name w:val="Textbox Bullet"/>
    <w:basedOn w:val="TextboxBodyText"/>
    <w:uiPriority w:val="2"/>
    <w:qFormat/>
    <w:rsid w:val="00F45D2F"/>
    <w:pPr>
      <w:numPr>
        <w:numId w:val="6"/>
      </w:numPr>
      <w:spacing w:before="240" w:after="0"/>
    </w:pPr>
  </w:style>
  <w:style w:type="character" w:customStyle="1" w:styleId="TextboxBulletIntro">
    <w:name w:val="Textbox Bullet Intro"/>
    <w:basedOn w:val="DefaultParagraphFont"/>
    <w:uiPriority w:val="1"/>
    <w:qFormat/>
    <w:rsid w:val="00020A3A"/>
    <w:rPr>
      <w:rFonts w:ascii="Segoe UI Semibold" w:hAnsi="Segoe UI Semibold"/>
      <w:b w:val="0"/>
      <w:bCs/>
      <w:color w:val="000000" w:themeColor="text1"/>
      <w:sz w:val="20"/>
    </w:rPr>
  </w:style>
  <w:style w:type="paragraph" w:customStyle="1" w:styleId="KeyFindingsBullet">
    <w:name w:val="Key Findings Bullet"/>
    <w:basedOn w:val="TextboxBullet"/>
    <w:uiPriority w:val="2"/>
    <w:qFormat/>
    <w:rsid w:val="00986AC7"/>
    <w:pPr>
      <w:numPr>
        <w:numId w:val="7"/>
      </w:numPr>
      <w:ind w:left="360"/>
    </w:pPr>
    <w:rPr>
      <w:color w:val="231F20"/>
    </w:rPr>
  </w:style>
  <w:style w:type="paragraph" w:customStyle="1" w:styleId="KeyFindingsHeading">
    <w:name w:val="Key Findings Heading"/>
    <w:basedOn w:val="TextboxHeading"/>
    <w:uiPriority w:val="2"/>
    <w:qFormat/>
    <w:rsid w:val="005607CA"/>
    <w:pPr>
      <w:pBdr>
        <w:bottom w:val="single" w:sz="12" w:space="9" w:color="DF8F2F" w:themeColor="accent1"/>
      </w:pBdr>
      <w:spacing w:line="280" w:lineRule="exact"/>
    </w:pPr>
    <w:rPr>
      <w:rFonts w:asciiTheme="majorHAnsi" w:hAnsiTheme="majorHAnsi"/>
      <w:sz w:val="32"/>
    </w:rPr>
  </w:style>
  <w:style w:type="character" w:customStyle="1" w:styleId="EndnoteTextChar">
    <w:name w:val="Endnote Text Char"/>
    <w:aliases w:val="Endnote Text Char Char Char Char Char Char Char"/>
    <w:basedOn w:val="DefaultParagraphFont"/>
    <w:link w:val="EndnoteText"/>
    <w:uiPriority w:val="99"/>
    <w:rsid w:val="008B43B3"/>
    <w:rPr>
      <w:rFonts w:eastAsia="Cambria"/>
      <w:color w:val="000000" w:themeColor="text1"/>
      <w:sz w:val="16"/>
      <w:szCs w:val="20"/>
    </w:rPr>
  </w:style>
  <w:style w:type="character" w:styleId="EndnoteReference">
    <w:name w:val="endnote reference"/>
    <w:basedOn w:val="DefaultParagraphFont"/>
    <w:uiPriority w:val="99"/>
    <w:rsid w:val="007B223E"/>
    <w:rPr>
      <w:vertAlign w:val="superscript"/>
    </w:rPr>
  </w:style>
  <w:style w:type="character" w:styleId="Hyperlink">
    <w:name w:val="Hyperlink"/>
    <w:uiPriority w:val="99"/>
    <w:rsid w:val="007B223E"/>
    <w:rPr>
      <w:color w:val="005395" w:themeColor="text2"/>
      <w:u w:val="single"/>
    </w:rPr>
  </w:style>
  <w:style w:type="character" w:styleId="FollowedHyperlink">
    <w:name w:val="FollowedHyperlink"/>
    <w:basedOn w:val="Hyperlink"/>
    <w:uiPriority w:val="99"/>
    <w:semiHidden/>
    <w:unhideWhenUsed/>
    <w:rsid w:val="007B223E"/>
    <w:rPr>
      <w:color w:val="005395" w:themeColor="followedHyperlink"/>
      <w:u w:val="single"/>
    </w:rPr>
  </w:style>
  <w:style w:type="paragraph" w:customStyle="1" w:styleId="FigurePlacer">
    <w:name w:val="Figure Placer"/>
    <w:basedOn w:val="FigureTableTitle"/>
    <w:uiPriority w:val="2"/>
    <w:qFormat/>
    <w:rsid w:val="00544914"/>
    <w:pPr>
      <w:keepNext w:val="0"/>
      <w:pBdr>
        <w:bottom w:val="none" w:sz="0" w:space="0" w:color="auto"/>
      </w:pBdr>
      <w:spacing w:before="240" w:line="240" w:lineRule="auto"/>
    </w:pPr>
    <w:rPr>
      <w:b w:val="0"/>
      <w:color w:val="000000" w:themeColor="text1"/>
    </w:rPr>
  </w:style>
  <w:style w:type="character" w:styleId="UnresolvedMention">
    <w:name w:val="Unresolved Mention"/>
    <w:basedOn w:val="DefaultParagraphFont"/>
    <w:uiPriority w:val="99"/>
    <w:semiHidden/>
    <w:unhideWhenUsed/>
    <w:locked/>
    <w:rsid w:val="008B43B3"/>
    <w:rPr>
      <w:color w:val="605E5C"/>
      <w:shd w:val="clear" w:color="auto" w:fill="E1DFDD"/>
    </w:rPr>
  </w:style>
  <w:style w:type="character" w:customStyle="1" w:styleId="ListBulletNumberIntro">
    <w:name w:val="List Bullet/Number Intro"/>
    <w:basedOn w:val="TextboxBulletIntro"/>
    <w:uiPriority w:val="1"/>
    <w:qFormat/>
    <w:rsid w:val="00020A3A"/>
    <w:rPr>
      <w:rFonts w:ascii="Segoe UI Semibold" w:hAnsi="Segoe UI Semibold"/>
      <w:b w:val="0"/>
      <w:bCs/>
      <w:color w:val="000000" w:themeColor="text1"/>
      <w:sz w:val="20"/>
    </w:rPr>
  </w:style>
  <w:style w:type="paragraph" w:customStyle="1" w:styleId="TableRowHeader">
    <w:name w:val="Table Row Header"/>
    <w:basedOn w:val="Normal"/>
    <w:uiPriority w:val="2"/>
    <w:qFormat/>
    <w:rsid w:val="00C47318"/>
    <w:rPr>
      <w:color w:val="005395" w:themeColor="text2"/>
    </w:rPr>
  </w:style>
  <w:style w:type="paragraph" w:customStyle="1" w:styleId="FooterUSCC">
    <w:name w:val="Footer_USCC"/>
    <w:basedOn w:val="Footer"/>
    <w:uiPriority w:val="2"/>
    <w:rsid w:val="002B74EE"/>
    <w:pPr>
      <w:jc w:val="left"/>
    </w:pPr>
    <w:rPr>
      <w:rFonts w:asciiTheme="minorHAnsi" w:hAnsiTheme="minorHAnsi"/>
      <w:b/>
      <w:color w:val="DF8F2F" w:themeColor="accent1"/>
      <w:sz w:val="20"/>
    </w:rPr>
  </w:style>
  <w:style w:type="character" w:styleId="PageNumber">
    <w:name w:val="page number"/>
    <w:basedOn w:val="DefaultParagraphFont"/>
    <w:uiPriority w:val="99"/>
    <w:rsid w:val="002B74EE"/>
    <w:rPr>
      <w:color w:val="DF8F2F" w:themeColor="accent1"/>
    </w:rPr>
  </w:style>
  <w:style w:type="paragraph" w:styleId="ListParagraph">
    <w:name w:val="List Paragraph"/>
    <w:basedOn w:val="Normal"/>
    <w:uiPriority w:val="34"/>
    <w:qFormat/>
    <w:rsid w:val="005945D0"/>
    <w:pPr>
      <w:spacing w:after="160" w:line="278" w:lineRule="auto"/>
      <w:ind w:left="720"/>
      <w:contextualSpacing/>
    </w:pPr>
    <w:rPr>
      <w:sz w:val="24"/>
      <w:szCs w:val="24"/>
      <w:lang w:eastAsia="zh-CN"/>
    </w:rPr>
  </w:style>
  <w:style w:type="paragraph" w:styleId="Quote">
    <w:name w:val="Quote"/>
    <w:basedOn w:val="Normal"/>
    <w:next w:val="Normal"/>
    <w:link w:val="QuoteChar"/>
    <w:uiPriority w:val="29"/>
    <w:qFormat/>
    <w:locked/>
    <w:rsid w:val="002621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62122"/>
    <w:rPr>
      <w:i/>
      <w:iCs/>
      <w:color w:val="404040" w:themeColor="text1" w:themeTint="BF"/>
    </w:rPr>
  </w:style>
  <w:style w:type="paragraph" w:styleId="NormalWeb">
    <w:name w:val="Normal (Web)"/>
    <w:basedOn w:val="Normal"/>
    <w:uiPriority w:val="99"/>
    <w:unhideWhenUsed/>
    <w:rsid w:val="000D4622"/>
    <w:pPr>
      <w:spacing w:before="100" w:beforeAutospacing="1" w:after="100" w:afterAutospacing="1"/>
    </w:pPr>
    <w:rPr>
      <w:rFonts w:ascii="Times New Roman" w:eastAsia="Times New Roman" w:hAnsi="Times New Roman" w:cs="Times New Roman"/>
      <w:kern w:val="0"/>
      <w:sz w:val="24"/>
      <w:szCs w:val="24"/>
      <w:lang w:eastAsia="zh-CN"/>
      <w14:ligatures w14:val="none"/>
    </w:rPr>
  </w:style>
  <w:style w:type="character" w:styleId="Strong">
    <w:name w:val="Strong"/>
    <w:basedOn w:val="DefaultParagraphFont"/>
    <w:uiPriority w:val="22"/>
    <w:qFormat/>
    <w:rsid w:val="000D4622"/>
    <w:rPr>
      <w:b/>
      <w:bCs/>
    </w:rPr>
  </w:style>
  <w:style w:type="character" w:customStyle="1" w:styleId="ms-1">
    <w:name w:val="ms-1"/>
    <w:basedOn w:val="DefaultParagraphFont"/>
    <w:rsid w:val="000D4622"/>
  </w:style>
  <w:style w:type="character" w:customStyle="1" w:styleId="max-w-15ch">
    <w:name w:val="max-w-[15ch]"/>
    <w:basedOn w:val="DefaultParagraphFont"/>
    <w:rsid w:val="000D4622"/>
  </w:style>
  <w:style w:type="character" w:customStyle="1" w:styleId="-me-1">
    <w:name w:val="-me-1"/>
    <w:basedOn w:val="DefaultParagraphFont"/>
    <w:rsid w:val="000D4622"/>
  </w:style>
  <w:style w:type="paragraph" w:styleId="Revision">
    <w:name w:val="Revision"/>
    <w:hidden/>
    <w:uiPriority w:val="99"/>
    <w:semiHidden/>
    <w:rsid w:val="00E76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scc.gov/sites/default/files/2025-11/Chapter_3--Axis_of_Autocracy.pdf" TargetMode="External"/><Relationship Id="rId18" Type="http://schemas.openxmlformats.org/officeDocument/2006/relationships/hyperlink" Target="https://www.uscc.gov/research/chinas-facilitation-sanctions-and-export-control-evas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scc.gov/sites/default/files/2025-11/Chapter_3--Axis_of_Autocracy.pdf"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uscc.gov/sites/default/files/2025-11/Chapter_3--Axis_of_Autocracy.pdf" TargetMode="Externa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endnotes.xml.rels><?xml version="1.0" encoding="UTF-8" standalone="yes"?>
<Relationships xmlns="http://schemas.openxmlformats.org/package/2006/relationships"><Relationship Id="rId13" Type="http://schemas.openxmlformats.org/officeDocument/2006/relationships/hyperlink" Target="https://www.uscc.gov/sites/default/files/2025-11/2025_Annual_Report_to_Congress.pdf" TargetMode="External"/><Relationship Id="rId18" Type="http://schemas.openxmlformats.org/officeDocument/2006/relationships/hyperlink" Target="https://www.reuters.com/world/china/iran-nears-deal-buy-supersonic-anti-ship-missiles-china-2026-02-24/" TargetMode="External"/><Relationship Id="rId26" Type="http://schemas.openxmlformats.org/officeDocument/2006/relationships/hyperlink" Target="https://merics.org/en/comment/irans-first-ever-sco-military-exercise-solidifies-ties-china-and-russia" TargetMode="External"/><Relationship Id="rId39" Type="http://schemas.openxmlformats.org/officeDocument/2006/relationships/hyperlink" Target="https://www.reuters.com/business/energy/chinas-heavy-reliance-iranian-oil-imports-2026-01-13" TargetMode="External"/><Relationship Id="rId21" Type="http://schemas.openxmlformats.org/officeDocument/2006/relationships/hyperlink" Target="https://www.aljazeera.com/features/2026/3/11/could-iran-be-using-chinas-highly-accurate-beidou-navigation-system" TargetMode="External"/><Relationship Id="rId34" Type="http://schemas.openxmlformats.org/officeDocument/2006/relationships/hyperlink" Target="https://www.politico.com/news/2026/03/02/iran-us-strikes-china-oil-supply-charts-00806415" TargetMode="External"/><Relationship Id="rId42" Type="http://schemas.openxmlformats.org/officeDocument/2006/relationships/hyperlink" Target="https://www.opec.org/assets/assetdb/asb-2025.pdf" TargetMode="External"/><Relationship Id="rId47" Type="http://schemas.openxmlformats.org/officeDocument/2006/relationships/hyperlink" Target="https://www.energypolicy.columbia.edu/where-china-gets-its-oil-crude-imports-in-2025-reveal-stockpiling-and-changing-fortunes-of-certain-suppliers-including-those-sanctioned/" TargetMode="External"/><Relationship Id="rId50" Type="http://schemas.openxmlformats.org/officeDocument/2006/relationships/hyperlink" Target="https://www.energypolicy.columbia.edu/where-china-gets-its-oil-crude-imports-in-2025-reveal-stockpiling-and-changing-fortunes-of-certain-suppliers-including-those-sanctioned/" TargetMode="External"/><Relationship Id="rId55" Type="http://schemas.openxmlformats.org/officeDocument/2006/relationships/hyperlink" Target="https://www.scmp.com/news/world/middle-east/article/3346021/ships-brandish-china-links-evade-irans-attacks-strait-hormuz" TargetMode="External"/><Relationship Id="rId7" Type="http://schemas.openxmlformats.org/officeDocument/2006/relationships/hyperlink" Target="https://www.aa.com.tr/en/asia-pacific/mideast-tensions-china-condemns-targeting-civilians-says-does-not-agree-with-attacks-on-gulf-region/3859254" TargetMode="External"/><Relationship Id="rId2" Type="http://schemas.openxmlformats.org/officeDocument/2006/relationships/hyperlink" Target="https://www.uscc.gov/sites/default/files/2025-11/2025_Annual_Report_to_Congress.pdf" TargetMode="External"/><Relationship Id="rId16" Type="http://schemas.openxmlformats.org/officeDocument/2006/relationships/hyperlink" Target="https://www.inss.org.il/publication/seven-sons-and-mullahs/" TargetMode="External"/><Relationship Id="rId29" Type="http://schemas.openxmlformats.org/officeDocument/2006/relationships/hyperlink" Target="https://chinarussiareport.substack.com/p/plan-skips-or-downplays-naval-exercises" TargetMode="External"/><Relationship Id="rId11" Type="http://schemas.openxmlformats.org/officeDocument/2006/relationships/hyperlink" Target="https://iranprimer.usip.org/blog/2023/jun/28/iran-china-military-ties" TargetMode="External"/><Relationship Id="rId24" Type="http://schemas.openxmlformats.org/officeDocument/2006/relationships/hyperlink" Target="https://chinarussiareport.substack.com/p/plan-skips-or-downplays-naval-exercises" TargetMode="External"/><Relationship Id="rId32" Type="http://schemas.openxmlformats.org/officeDocument/2006/relationships/hyperlink" Target="https://www.uscc.gov/trade-bulletins/china-bulletin-january-14-2026" TargetMode="External"/><Relationship Id="rId37" Type="http://schemas.openxmlformats.org/officeDocument/2006/relationships/hyperlink" Target="https://www.wsj.com/world/middle-east/how-china-secretly-pays-iran-for-oil-and-avoids-u-s-sanctions-b6f1b71e?mod=article_inline" TargetMode="External"/><Relationship Id="rId40" Type="http://schemas.openxmlformats.org/officeDocument/2006/relationships/hyperlink" Target="https://www.bloomberg.com/news/articles/2025-06-14/israel-strikes-refinery-at-iran-s-giant-south-pars-gas-field" TargetMode="External"/><Relationship Id="rId45" Type="http://schemas.openxmlformats.org/officeDocument/2006/relationships/hyperlink" Target="https://www.energypolicy.columbia.edu/where-china-gets-its-oil-crude-imports-in-2025-reveal-stockpiling-and-changing-fortunes-of-certain-suppliers-including-those-sanctioned/" TargetMode="External"/><Relationship Id="rId53" Type="http://schemas.openxmlformats.org/officeDocument/2006/relationships/hyperlink" Target="https://www.bloomberg.com/news/articles/2026-03-12/china-tightens-fuel-export-curbs-as-iran-war-hits-oil-supply" TargetMode="External"/><Relationship Id="rId58" Type="http://schemas.openxmlformats.org/officeDocument/2006/relationships/hyperlink" Target="https://www.economist.com/finance-and-economics/2024/10/17/inside-the-secret-oil-trade-that-funds-irans-wars" TargetMode="External"/><Relationship Id="rId5" Type="http://schemas.openxmlformats.org/officeDocument/2006/relationships/hyperlink" Target="https://web.archive.org/web/20260310180942/https://www.mfa.gov.cn/wjbzhd/202603/t20260301_11866719.shtml" TargetMode="External"/><Relationship Id="rId61" Type="http://schemas.openxmlformats.org/officeDocument/2006/relationships/hyperlink" Target="https://home.treasury.gov/news/press-releases/jy2431" TargetMode="External"/><Relationship Id="rId19" Type="http://schemas.openxmlformats.org/officeDocument/2006/relationships/hyperlink" Target="https://www.washingtonpost.com/investigations/2026/03/07/laden-iranian-ships-depart-chinese-port-tied-key-military-chemicals/" TargetMode="External"/><Relationship Id="rId14" Type="http://schemas.openxmlformats.org/officeDocument/2006/relationships/hyperlink" Target="https://www.uscc.gov/sites/default/files/2025-11/2025_Annual_Report_to_Congress.pdf" TargetMode="External"/><Relationship Id="rId22" Type="http://schemas.openxmlformats.org/officeDocument/2006/relationships/hyperlink" Target="https://www.aljazeera.com/features/2026/3/11/could-iran-be-using-chinas-highly-accurate-beidou-navigation-system" TargetMode="External"/><Relationship Id="rId27" Type="http://schemas.openxmlformats.org/officeDocument/2006/relationships/hyperlink" Target="https://web.archive.org/web/20260310160439/http://eng.mod.gov.cn/xb/News_213114/TopStories/16374735.html" TargetMode="External"/><Relationship Id="rId30" Type="http://schemas.openxmlformats.org/officeDocument/2006/relationships/hyperlink" Target="https://web.archive.org/web/20260222144840/https://world.people.com.cn/n1/2026/0220/c1002-40667817.html" TargetMode="External"/><Relationship Id="rId35" Type="http://schemas.openxmlformats.org/officeDocument/2006/relationships/hyperlink" Target="https://www.reuters.com/business/energy/chinas-heavy-reliance-iranian-oil-imports-2026-01-13" TargetMode="External"/><Relationship Id="rId43" Type="http://schemas.openxmlformats.org/officeDocument/2006/relationships/hyperlink" Target="https://www.eia.gov/international/analysis/country/irn" TargetMode="External"/><Relationship Id="rId48" Type="http://schemas.openxmlformats.org/officeDocument/2006/relationships/hyperlink" Target="https://www.energypolicy.columbia.edu/where-china-gets-its-oil-crude-imports-in-2025-reveal-stockpiling-and-changing-fortunes-of-certain-suppliers-including-those-sanctioned/" TargetMode="External"/><Relationship Id="rId56" Type="http://schemas.openxmlformats.org/officeDocument/2006/relationships/hyperlink" Target="https://www.consilium.europa.eu/en/policies/sanctions-against-iran" TargetMode="External"/><Relationship Id="rId8" Type="http://schemas.openxmlformats.org/officeDocument/2006/relationships/hyperlink" Target="https://web.archive.org/web/20260312142511/https://www.mfa.gov.cn/web/wjdt_674879/fyrbt_674889/202603/t20260311_11872831.shtml" TargetMode="External"/><Relationship Id="rId51" Type="http://schemas.openxmlformats.org/officeDocument/2006/relationships/hyperlink" Target="https://www.bloomberg.com/news/articles/2026-03-09/sensitive-crude-off-china-swells-to-record-as-war-roils-market" TargetMode="External"/><Relationship Id="rId3" Type="http://schemas.openxmlformats.org/officeDocument/2006/relationships/hyperlink" Target="https://www.nytimes.com/2026/03/08/world/middleeast/brics-iran-allies-us-israel-war.html" TargetMode="External"/><Relationship Id="rId12" Type="http://schemas.openxmlformats.org/officeDocument/2006/relationships/hyperlink" Target="https://www.uscc.gov/sites/default/files/2025-11/2025_Annual_Report_to_Congress.pdf" TargetMode="External"/><Relationship Id="rId17" Type="http://schemas.openxmlformats.org/officeDocument/2006/relationships/hyperlink" Target="https://www.middleeasteye.net/news/china-has-sent-attack-drones-iran-it-discusses-ballistic-missile-sales" TargetMode="External"/><Relationship Id="rId25" Type="http://schemas.openxmlformats.org/officeDocument/2006/relationships/hyperlink" Target="https://g2webcontent.z2.web.core.usgovcloudapi.net/OEE/CRINK_01-25_1JUL25_anonymous.pdf" TargetMode="External"/><Relationship Id="rId33" Type="http://schemas.openxmlformats.org/officeDocument/2006/relationships/hyperlink" Target="https://web.archive.org/web/20260112214107/https:/www.dailymaverick.co.za/article/2026-01-12-iran-pulls-out-of-sas-joint-naval-exercise-amid-political-tensions/" TargetMode="External"/><Relationship Id="rId38" Type="http://schemas.openxmlformats.org/officeDocument/2006/relationships/hyperlink" Target="https://www.politico.com/news/2026/03/02/iran-us-strikes-china-oil-supply-charts-00806415" TargetMode="External"/><Relationship Id="rId46" Type="http://schemas.openxmlformats.org/officeDocument/2006/relationships/hyperlink" Target="https://www.politico.com/news/2026/03/02/iran-us-strikes-china-oil-supply-charts-00806415" TargetMode="External"/><Relationship Id="rId59" Type="http://schemas.openxmlformats.org/officeDocument/2006/relationships/hyperlink" Target="https://www.economist.com/finance-and-economics/2024/10/17/inside-the-secret-oil-trade-that-funds-irans-wars" TargetMode="External"/><Relationship Id="rId20" Type="http://schemas.openxmlformats.org/officeDocument/2006/relationships/hyperlink" Target="https://www.wsj.com/world/middle-east/china-is-helping-supply-chemicals-for-irans-ballistic-missile-program-ab272ad7" TargetMode="External"/><Relationship Id="rId41" Type="http://schemas.openxmlformats.org/officeDocument/2006/relationships/hyperlink" Target="https://www.eia.gov/international/analysis/country/irn" TargetMode="External"/><Relationship Id="rId54" Type="http://schemas.openxmlformats.org/officeDocument/2006/relationships/hyperlink" Target="https://www.wsj.com/world/middle-east/irans-control-of-hormuz-means-its-exporting-more-oil-today-than-before-the-war-ede3cd91" TargetMode="External"/><Relationship Id="rId62" Type="http://schemas.openxmlformats.org/officeDocument/2006/relationships/hyperlink" Target="https://home.treasury.gov/news/press-releases/sb0405" TargetMode="External"/><Relationship Id="rId1" Type="http://schemas.openxmlformats.org/officeDocument/2006/relationships/hyperlink" Target="https://uscnpm.org/analysis/why-china-opposes-a-nuclear-armed-iran/" TargetMode="External"/><Relationship Id="rId6" Type="http://schemas.openxmlformats.org/officeDocument/2006/relationships/hyperlink" Target="https://web.archive.org/web/20260308044457/https://www.mfa.gov.cn/fyrbt_673021/202603/t20260301_11866721.shtml" TargetMode="External"/><Relationship Id="rId15" Type="http://schemas.openxmlformats.org/officeDocument/2006/relationships/hyperlink" Target="https://www.uscc.gov/research/chinas-facilitation-sanctions-and-export-control-evasion" TargetMode="External"/><Relationship Id="rId23" Type="http://schemas.openxmlformats.org/officeDocument/2006/relationships/hyperlink" Target="https://web.archive.org/web/20260310162753/https://news.cgtn.com/news/2022-04-28/China-Iran-agree-to-push-military-ties-to-higher-level-19AEBvT2swg/index.html" TargetMode="External"/><Relationship Id="rId28" Type="http://schemas.openxmlformats.org/officeDocument/2006/relationships/hyperlink" Target="https://www.lowyinstitute.org/the-interpreter/russia-makes-its-presence-known-iran-crisis" TargetMode="External"/><Relationship Id="rId36" Type="http://schemas.openxmlformats.org/officeDocument/2006/relationships/hyperlink" Target="https://www.wsj.com/world/iran-china-war-strategy-4e0132fc?gaa_at=eafs&amp;gaa_n=AWEtsqc3Pl6L4Y3iuksKzJ14UJdpUjKlTX8VIKOLmA04sa8-V09iZu9fsXcByT2NaOU%3D&amp;gaa_ts=69af17c0&amp;gaa_sig=V5cmj4wV4RZpBpUAfiWYjh6jwC7F8Tx-vFNfUW2jl6_NEQZN-VvEletL5dvjLYaUhdZyh7pLIpJqDO9BtZYt5g%3D%3D" TargetMode="External"/><Relationship Id="rId49" Type="http://schemas.openxmlformats.org/officeDocument/2006/relationships/hyperlink" Target="https://www.bloomberg.com/news/articles/2026-03-09/sensitive-crude-off-china-swells-to-record-as-war-roils-market" TargetMode="External"/><Relationship Id="rId57" Type="http://schemas.openxmlformats.org/officeDocument/2006/relationships/hyperlink" Target="https://web.archive.org/web/20260309213927/https://un.china-mission.gov.cn/eng/chinaandun/202510/t20251014_11732221.htm" TargetMode="External"/><Relationship Id="rId10" Type="http://schemas.openxmlformats.org/officeDocument/2006/relationships/hyperlink" Target="https://web.archive.org/web/20260312144129/https://www.mfa.gov.cn/web/wjdt_674879/gjldrhd_674881/202603/t20260302_11867266.shtml" TargetMode="External"/><Relationship Id="rId31" Type="http://schemas.openxmlformats.org/officeDocument/2006/relationships/hyperlink" Target="https://merics.org/en/comment/irans-first-ever-sco-military-exercise-solidifies-ties-china-and-russia" TargetMode="External"/><Relationship Id="rId44" Type="http://schemas.openxmlformats.org/officeDocument/2006/relationships/hyperlink" Target="https://www.reuters.com/business/energy/chinas-heavy-reliance-iranian-oil-imports-2026-01-13" TargetMode="External"/><Relationship Id="rId52" Type="http://schemas.openxmlformats.org/officeDocument/2006/relationships/hyperlink" Target="https://www.energypolicy.columbia.edu/where-china-gets-its-oil-crude-imports-in-2025-reveal-stockpiling-and-changing-fortunes-of-certain-suppliers-including-those-sanctioned/" TargetMode="External"/><Relationship Id="rId60" Type="http://schemas.openxmlformats.org/officeDocument/2006/relationships/hyperlink" Target="https://home.treasury.gov/news/press-releases/jy2431" TargetMode="External"/><Relationship Id="rId4" Type="http://schemas.openxmlformats.org/officeDocument/2006/relationships/hyperlink" Target="https://news.usni.org/2026/01/09/chinese-russian-iranian-warships-gather-near-south-africa-for-multilateral-drill." TargetMode="External"/><Relationship Id="rId9" Type="http://schemas.openxmlformats.org/officeDocument/2006/relationships/hyperlink" Target="https://www.aa.com.tr/en/asia-pacific/mideast-tensions-china-condemns-targeting-civilians-says-does-not-agree-with-attacks-on-gulf-region/3859254"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Templates\USCC%20Issue%20Brief%20Template%20-%20September%20202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ccfs01.file.core.windows.net\common\Annual%20Reports%20to%20Congress\2025\03_Axis%20of%20Autocracy\8_Sources%20for%20FACTCHECK\Axis%20trade%20sta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'Iran Oil Exports'!$N$3</c:f>
              <c:strCache>
                <c:ptCount val="1"/>
                <c:pt idx="0">
                  <c:v>China</c:v>
                </c:pt>
              </c:strCache>
            </c:strRef>
          </c:tx>
          <c:spPr>
            <a:solidFill>
              <a:schemeClr val="accent1"/>
            </a:solidFill>
            <a:ln>
              <a:noFill/>
            </a:ln>
            <a:effectLst/>
          </c:spPr>
          <c:cat>
            <c:numRef>
              <c:f>'Iran Oil Exports'!$M$22:$M$94</c:f>
              <c:numCache>
                <c:formatCode>General</c:formatCode>
                <c:ptCount val="73"/>
                <c:pt idx="0">
                  <c:v>2020</c:v>
                </c:pt>
                <c:pt idx="1">
                  <c:v>2020</c:v>
                </c:pt>
                <c:pt idx="2">
                  <c:v>2020</c:v>
                </c:pt>
                <c:pt idx="3">
                  <c:v>2020</c:v>
                </c:pt>
                <c:pt idx="4">
                  <c:v>2020</c:v>
                </c:pt>
                <c:pt idx="5">
                  <c:v>2020</c:v>
                </c:pt>
                <c:pt idx="6">
                  <c:v>2020</c:v>
                </c:pt>
                <c:pt idx="7">
                  <c:v>2020</c:v>
                </c:pt>
                <c:pt idx="8">
                  <c:v>2020</c:v>
                </c:pt>
                <c:pt idx="9">
                  <c:v>2020</c:v>
                </c:pt>
                <c:pt idx="10">
                  <c:v>2020</c:v>
                </c:pt>
                <c:pt idx="11">
                  <c:v>2020</c:v>
                </c:pt>
                <c:pt idx="12">
                  <c:v>2021</c:v>
                </c:pt>
                <c:pt idx="13">
                  <c:v>2021</c:v>
                </c:pt>
                <c:pt idx="14">
                  <c:v>2021</c:v>
                </c:pt>
                <c:pt idx="15">
                  <c:v>2021</c:v>
                </c:pt>
                <c:pt idx="16">
                  <c:v>2021</c:v>
                </c:pt>
                <c:pt idx="17">
                  <c:v>2021</c:v>
                </c:pt>
                <c:pt idx="18">
                  <c:v>2021</c:v>
                </c:pt>
                <c:pt idx="19">
                  <c:v>2021</c:v>
                </c:pt>
                <c:pt idx="20">
                  <c:v>2021</c:v>
                </c:pt>
                <c:pt idx="21">
                  <c:v>2021</c:v>
                </c:pt>
                <c:pt idx="22">
                  <c:v>2021</c:v>
                </c:pt>
                <c:pt idx="23">
                  <c:v>2021</c:v>
                </c:pt>
                <c:pt idx="24">
                  <c:v>2022</c:v>
                </c:pt>
                <c:pt idx="25">
                  <c:v>2022</c:v>
                </c:pt>
                <c:pt idx="26">
                  <c:v>2022</c:v>
                </c:pt>
                <c:pt idx="27">
                  <c:v>2022</c:v>
                </c:pt>
                <c:pt idx="28">
                  <c:v>2022</c:v>
                </c:pt>
                <c:pt idx="29">
                  <c:v>2022</c:v>
                </c:pt>
                <c:pt idx="30">
                  <c:v>2022</c:v>
                </c:pt>
                <c:pt idx="31">
                  <c:v>2022</c:v>
                </c:pt>
                <c:pt idx="32">
                  <c:v>2022</c:v>
                </c:pt>
                <c:pt idx="33">
                  <c:v>2022</c:v>
                </c:pt>
                <c:pt idx="34">
                  <c:v>2022</c:v>
                </c:pt>
                <c:pt idx="35">
                  <c:v>2022</c:v>
                </c:pt>
                <c:pt idx="36">
                  <c:v>2023</c:v>
                </c:pt>
                <c:pt idx="37">
                  <c:v>2023</c:v>
                </c:pt>
                <c:pt idx="38">
                  <c:v>2023</c:v>
                </c:pt>
                <c:pt idx="39">
                  <c:v>2023</c:v>
                </c:pt>
                <c:pt idx="40">
                  <c:v>2023</c:v>
                </c:pt>
                <c:pt idx="41">
                  <c:v>2023</c:v>
                </c:pt>
                <c:pt idx="42">
                  <c:v>2023</c:v>
                </c:pt>
                <c:pt idx="43">
                  <c:v>2023</c:v>
                </c:pt>
                <c:pt idx="44">
                  <c:v>2023</c:v>
                </c:pt>
                <c:pt idx="45">
                  <c:v>2023</c:v>
                </c:pt>
                <c:pt idx="46">
                  <c:v>2023</c:v>
                </c:pt>
                <c:pt idx="47">
                  <c:v>2023</c:v>
                </c:pt>
                <c:pt idx="48">
                  <c:v>2024</c:v>
                </c:pt>
                <c:pt idx="49">
                  <c:v>2024</c:v>
                </c:pt>
                <c:pt idx="50">
                  <c:v>2024</c:v>
                </c:pt>
                <c:pt idx="51">
                  <c:v>2024</c:v>
                </c:pt>
                <c:pt idx="52">
                  <c:v>2024</c:v>
                </c:pt>
                <c:pt idx="53">
                  <c:v>2024</c:v>
                </c:pt>
                <c:pt idx="54">
                  <c:v>2024</c:v>
                </c:pt>
                <c:pt idx="55">
                  <c:v>2024</c:v>
                </c:pt>
                <c:pt idx="56">
                  <c:v>2024</c:v>
                </c:pt>
                <c:pt idx="57">
                  <c:v>2024</c:v>
                </c:pt>
                <c:pt idx="58">
                  <c:v>2024</c:v>
                </c:pt>
                <c:pt idx="59">
                  <c:v>2024</c:v>
                </c:pt>
                <c:pt idx="60">
                  <c:v>2025</c:v>
                </c:pt>
                <c:pt idx="61">
                  <c:v>2025</c:v>
                </c:pt>
                <c:pt idx="62">
                  <c:v>2025</c:v>
                </c:pt>
                <c:pt idx="63">
                  <c:v>2025</c:v>
                </c:pt>
                <c:pt idx="64">
                  <c:v>2025</c:v>
                </c:pt>
                <c:pt idx="65">
                  <c:v>2025</c:v>
                </c:pt>
                <c:pt idx="66">
                  <c:v>2025</c:v>
                </c:pt>
                <c:pt idx="67">
                  <c:v>2025</c:v>
                </c:pt>
                <c:pt idx="68">
                  <c:v>2025</c:v>
                </c:pt>
                <c:pt idx="69">
                  <c:v>2025</c:v>
                </c:pt>
                <c:pt idx="70">
                  <c:v>2025</c:v>
                </c:pt>
                <c:pt idx="71">
                  <c:v>2025</c:v>
                </c:pt>
                <c:pt idx="72">
                  <c:v>2026</c:v>
                </c:pt>
              </c:numCache>
            </c:numRef>
          </c:cat>
          <c:val>
            <c:numRef>
              <c:f>'Iran Oil Exports'!$N$22:$N$94</c:f>
              <c:numCache>
                <c:formatCode>General</c:formatCode>
                <c:ptCount val="73"/>
                <c:pt idx="0">
                  <c:v>0.21260166666666666</c:v>
                </c:pt>
                <c:pt idx="1">
                  <c:v>0.16878266666666664</c:v>
                </c:pt>
                <c:pt idx="2">
                  <c:v>0.20975633333333332</c:v>
                </c:pt>
                <c:pt idx="3">
                  <c:v>0.27564099999999997</c:v>
                </c:pt>
                <c:pt idx="4">
                  <c:v>0.33805466666666667</c:v>
                </c:pt>
                <c:pt idx="5">
                  <c:v>0.33695399999999998</c:v>
                </c:pt>
                <c:pt idx="6">
                  <c:v>0.29645299999999997</c:v>
                </c:pt>
                <c:pt idx="7">
                  <c:v>0.31953833333333331</c:v>
                </c:pt>
                <c:pt idx="8">
                  <c:v>0.44260466666666665</c:v>
                </c:pt>
                <c:pt idx="9">
                  <c:v>0.50884666666666667</c:v>
                </c:pt>
                <c:pt idx="10">
                  <c:v>0.53025</c:v>
                </c:pt>
                <c:pt idx="11">
                  <c:v>0.65718666666666659</c:v>
                </c:pt>
                <c:pt idx="12">
                  <c:v>0.79033933333333328</c:v>
                </c:pt>
                <c:pt idx="13">
                  <c:v>0.93892500000000001</c:v>
                </c:pt>
                <c:pt idx="14">
                  <c:v>0.96535833333333332</c:v>
                </c:pt>
                <c:pt idx="15">
                  <c:v>1.0076396666666665</c:v>
                </c:pt>
                <c:pt idx="16">
                  <c:v>0.86849633333333331</c:v>
                </c:pt>
                <c:pt idx="17">
                  <c:v>0.6977983333333333</c:v>
                </c:pt>
                <c:pt idx="18">
                  <c:v>0.44323633333333329</c:v>
                </c:pt>
                <c:pt idx="19">
                  <c:v>0.60386866666666661</c:v>
                </c:pt>
                <c:pt idx="20">
                  <c:v>0.65790366666666655</c:v>
                </c:pt>
                <c:pt idx="21">
                  <c:v>0.73156100000000002</c:v>
                </c:pt>
                <c:pt idx="22">
                  <c:v>0.78339899999999996</c:v>
                </c:pt>
                <c:pt idx="23">
                  <c:v>0.82676266666666665</c:v>
                </c:pt>
                <c:pt idx="24">
                  <c:v>0.94002066666666662</c:v>
                </c:pt>
                <c:pt idx="25">
                  <c:v>0.86441699999999999</c:v>
                </c:pt>
                <c:pt idx="26">
                  <c:v>0.89305999999999996</c:v>
                </c:pt>
                <c:pt idx="27">
                  <c:v>0.87052333333333332</c:v>
                </c:pt>
                <c:pt idx="28">
                  <c:v>0.81493233333333337</c:v>
                </c:pt>
                <c:pt idx="29">
                  <c:v>0.72884933333333335</c:v>
                </c:pt>
                <c:pt idx="30">
                  <c:v>0.6974353333333333</c:v>
                </c:pt>
                <c:pt idx="31">
                  <c:v>0.7690176666666666</c:v>
                </c:pt>
                <c:pt idx="32">
                  <c:v>0.7527246666666666</c:v>
                </c:pt>
                <c:pt idx="33">
                  <c:v>0.7880246666666666</c:v>
                </c:pt>
                <c:pt idx="34">
                  <c:v>0.88221366666666656</c:v>
                </c:pt>
                <c:pt idx="35">
                  <c:v>1.0942753333333333</c:v>
                </c:pt>
                <c:pt idx="36">
                  <c:v>1.1538966666666668</c:v>
                </c:pt>
                <c:pt idx="37">
                  <c:v>1.089815</c:v>
                </c:pt>
                <c:pt idx="38">
                  <c:v>1.000556</c:v>
                </c:pt>
                <c:pt idx="39">
                  <c:v>0.94721733333333336</c:v>
                </c:pt>
                <c:pt idx="40">
                  <c:v>1.0956843333333333</c:v>
                </c:pt>
                <c:pt idx="41">
                  <c:v>1.0955146666666666</c:v>
                </c:pt>
                <c:pt idx="42">
                  <c:v>1.2604756666666668</c:v>
                </c:pt>
                <c:pt idx="43">
                  <c:v>1.3621113333333332</c:v>
                </c:pt>
                <c:pt idx="44">
                  <c:v>1.4224159999999999</c:v>
                </c:pt>
                <c:pt idx="45">
                  <c:v>1.3057356666666666</c:v>
                </c:pt>
                <c:pt idx="46">
                  <c:v>1.2023846666666667</c:v>
                </c:pt>
                <c:pt idx="47">
                  <c:v>1.2251539999999999</c:v>
                </c:pt>
                <c:pt idx="48">
                  <c:v>1.2435013333333331</c:v>
                </c:pt>
                <c:pt idx="49">
                  <c:v>1.1334009999999999</c:v>
                </c:pt>
                <c:pt idx="50">
                  <c:v>1.3045456666666666</c:v>
                </c:pt>
                <c:pt idx="51">
                  <c:v>1.4236026666666666</c:v>
                </c:pt>
                <c:pt idx="52">
                  <c:v>1.5674303333333333</c:v>
                </c:pt>
                <c:pt idx="53">
                  <c:v>1.4711543333333332</c:v>
                </c:pt>
                <c:pt idx="54">
                  <c:v>1.5620239999999999</c:v>
                </c:pt>
                <c:pt idx="55">
                  <c:v>1.501468</c:v>
                </c:pt>
                <c:pt idx="56">
                  <c:v>1.6017526666666666</c:v>
                </c:pt>
                <c:pt idx="57">
                  <c:v>1.4909436666666667</c:v>
                </c:pt>
                <c:pt idx="58">
                  <c:v>1.6251916666666666</c:v>
                </c:pt>
                <c:pt idx="59">
                  <c:v>1.5340353333333332</c:v>
                </c:pt>
                <c:pt idx="60">
                  <c:v>1.4380199999999999</c:v>
                </c:pt>
                <c:pt idx="61">
                  <c:v>1.4325056666666667</c:v>
                </c:pt>
                <c:pt idx="62">
                  <c:v>1.4218376666666668</c:v>
                </c:pt>
                <c:pt idx="63">
                  <c:v>1.5728626666666667</c:v>
                </c:pt>
                <c:pt idx="64">
                  <c:v>1.6523159999999999</c:v>
                </c:pt>
                <c:pt idx="65">
                  <c:v>1.6675033333333331</c:v>
                </c:pt>
                <c:pt idx="66">
                  <c:v>1.676968</c:v>
                </c:pt>
                <c:pt idx="67">
                  <c:v>1.4866613333333332</c:v>
                </c:pt>
                <c:pt idx="68">
                  <c:v>1.6177029999999999</c:v>
                </c:pt>
                <c:pt idx="69">
                  <c:v>1.7530213333333331</c:v>
                </c:pt>
                <c:pt idx="70">
                  <c:v>1.9096373333333332</c:v>
                </c:pt>
                <c:pt idx="71">
                  <c:v>1.7459043333333333</c:v>
                </c:pt>
                <c:pt idx="72">
                  <c:v>1.5342856666666667</c:v>
                </c:pt>
              </c:numCache>
            </c:numRef>
          </c:val>
          <c:extLst>
            <c:ext xmlns:c16="http://schemas.microsoft.com/office/drawing/2014/chart" uri="{C3380CC4-5D6E-409C-BE32-E72D297353CC}">
              <c16:uniqueId val="{00000000-DC05-4597-9325-6EB54D7A67D3}"/>
            </c:ext>
          </c:extLst>
        </c:ser>
        <c:ser>
          <c:idx val="1"/>
          <c:order val="1"/>
          <c:tx>
            <c:strRef>
              <c:f>'Iran Oil Exports'!$O$3</c:f>
              <c:strCache>
                <c:ptCount val="1"/>
                <c:pt idx="0">
                  <c:v>Rest of World</c:v>
                </c:pt>
              </c:strCache>
            </c:strRef>
          </c:tx>
          <c:spPr>
            <a:solidFill>
              <a:schemeClr val="accent2"/>
            </a:solidFill>
            <a:ln>
              <a:noFill/>
            </a:ln>
            <a:effectLst/>
          </c:spPr>
          <c:cat>
            <c:numRef>
              <c:f>'Iran Oil Exports'!$M$22:$M$94</c:f>
              <c:numCache>
                <c:formatCode>General</c:formatCode>
                <c:ptCount val="73"/>
                <c:pt idx="0">
                  <c:v>2020</c:v>
                </c:pt>
                <c:pt idx="1">
                  <c:v>2020</c:v>
                </c:pt>
                <c:pt idx="2">
                  <c:v>2020</c:v>
                </c:pt>
                <c:pt idx="3">
                  <c:v>2020</c:v>
                </c:pt>
                <c:pt idx="4">
                  <c:v>2020</c:v>
                </c:pt>
                <c:pt idx="5">
                  <c:v>2020</c:v>
                </c:pt>
                <c:pt idx="6">
                  <c:v>2020</c:v>
                </c:pt>
                <c:pt idx="7">
                  <c:v>2020</c:v>
                </c:pt>
                <c:pt idx="8">
                  <c:v>2020</c:v>
                </c:pt>
                <c:pt idx="9">
                  <c:v>2020</c:v>
                </c:pt>
                <c:pt idx="10">
                  <c:v>2020</c:v>
                </c:pt>
                <c:pt idx="11">
                  <c:v>2020</c:v>
                </c:pt>
                <c:pt idx="12">
                  <c:v>2021</c:v>
                </c:pt>
                <c:pt idx="13">
                  <c:v>2021</c:v>
                </c:pt>
                <c:pt idx="14">
                  <c:v>2021</c:v>
                </c:pt>
                <c:pt idx="15">
                  <c:v>2021</c:v>
                </c:pt>
                <c:pt idx="16">
                  <c:v>2021</c:v>
                </c:pt>
                <c:pt idx="17">
                  <c:v>2021</c:v>
                </c:pt>
                <c:pt idx="18">
                  <c:v>2021</c:v>
                </c:pt>
                <c:pt idx="19">
                  <c:v>2021</c:v>
                </c:pt>
                <c:pt idx="20">
                  <c:v>2021</c:v>
                </c:pt>
                <c:pt idx="21">
                  <c:v>2021</c:v>
                </c:pt>
                <c:pt idx="22">
                  <c:v>2021</c:v>
                </c:pt>
                <c:pt idx="23">
                  <c:v>2021</c:v>
                </c:pt>
                <c:pt idx="24">
                  <c:v>2022</c:v>
                </c:pt>
                <c:pt idx="25">
                  <c:v>2022</c:v>
                </c:pt>
                <c:pt idx="26">
                  <c:v>2022</c:v>
                </c:pt>
                <c:pt idx="27">
                  <c:v>2022</c:v>
                </c:pt>
                <c:pt idx="28">
                  <c:v>2022</c:v>
                </c:pt>
                <c:pt idx="29">
                  <c:v>2022</c:v>
                </c:pt>
                <c:pt idx="30">
                  <c:v>2022</c:v>
                </c:pt>
                <c:pt idx="31">
                  <c:v>2022</c:v>
                </c:pt>
                <c:pt idx="32">
                  <c:v>2022</c:v>
                </c:pt>
                <c:pt idx="33">
                  <c:v>2022</c:v>
                </c:pt>
                <c:pt idx="34">
                  <c:v>2022</c:v>
                </c:pt>
                <c:pt idx="35">
                  <c:v>2022</c:v>
                </c:pt>
                <c:pt idx="36">
                  <c:v>2023</c:v>
                </c:pt>
                <c:pt idx="37">
                  <c:v>2023</c:v>
                </c:pt>
                <c:pt idx="38">
                  <c:v>2023</c:v>
                </c:pt>
                <c:pt idx="39">
                  <c:v>2023</c:v>
                </c:pt>
                <c:pt idx="40">
                  <c:v>2023</c:v>
                </c:pt>
                <c:pt idx="41">
                  <c:v>2023</c:v>
                </c:pt>
                <c:pt idx="42">
                  <c:v>2023</c:v>
                </c:pt>
                <c:pt idx="43">
                  <c:v>2023</c:v>
                </c:pt>
                <c:pt idx="44">
                  <c:v>2023</c:v>
                </c:pt>
                <c:pt idx="45">
                  <c:v>2023</c:v>
                </c:pt>
                <c:pt idx="46">
                  <c:v>2023</c:v>
                </c:pt>
                <c:pt idx="47">
                  <c:v>2023</c:v>
                </c:pt>
                <c:pt idx="48">
                  <c:v>2024</c:v>
                </c:pt>
                <c:pt idx="49">
                  <c:v>2024</c:v>
                </c:pt>
                <c:pt idx="50">
                  <c:v>2024</c:v>
                </c:pt>
                <c:pt idx="51">
                  <c:v>2024</c:v>
                </c:pt>
                <c:pt idx="52">
                  <c:v>2024</c:v>
                </c:pt>
                <c:pt idx="53">
                  <c:v>2024</c:v>
                </c:pt>
                <c:pt idx="54">
                  <c:v>2024</c:v>
                </c:pt>
                <c:pt idx="55">
                  <c:v>2024</c:v>
                </c:pt>
                <c:pt idx="56">
                  <c:v>2024</c:v>
                </c:pt>
                <c:pt idx="57">
                  <c:v>2024</c:v>
                </c:pt>
                <c:pt idx="58">
                  <c:v>2024</c:v>
                </c:pt>
                <c:pt idx="59">
                  <c:v>2024</c:v>
                </c:pt>
                <c:pt idx="60">
                  <c:v>2025</c:v>
                </c:pt>
                <c:pt idx="61">
                  <c:v>2025</c:v>
                </c:pt>
                <c:pt idx="62">
                  <c:v>2025</c:v>
                </c:pt>
                <c:pt idx="63">
                  <c:v>2025</c:v>
                </c:pt>
                <c:pt idx="64">
                  <c:v>2025</c:v>
                </c:pt>
                <c:pt idx="65">
                  <c:v>2025</c:v>
                </c:pt>
                <c:pt idx="66">
                  <c:v>2025</c:v>
                </c:pt>
                <c:pt idx="67">
                  <c:v>2025</c:v>
                </c:pt>
                <c:pt idx="68">
                  <c:v>2025</c:v>
                </c:pt>
                <c:pt idx="69">
                  <c:v>2025</c:v>
                </c:pt>
                <c:pt idx="70">
                  <c:v>2025</c:v>
                </c:pt>
                <c:pt idx="71">
                  <c:v>2025</c:v>
                </c:pt>
                <c:pt idx="72">
                  <c:v>2026</c:v>
                </c:pt>
              </c:numCache>
            </c:numRef>
          </c:cat>
          <c:val>
            <c:numRef>
              <c:f>'Iran Oil Exports'!$O$22:$O$94</c:f>
              <c:numCache>
                <c:formatCode>General</c:formatCode>
                <c:ptCount val="73"/>
                <c:pt idx="0">
                  <c:v>0.46010199999999996</c:v>
                </c:pt>
                <c:pt idx="1">
                  <c:v>0.45659699999999998</c:v>
                </c:pt>
                <c:pt idx="2">
                  <c:v>0.54602833333333323</c:v>
                </c:pt>
                <c:pt idx="3">
                  <c:v>0.368668</c:v>
                </c:pt>
                <c:pt idx="4">
                  <c:v>0.38036066666666668</c:v>
                </c:pt>
                <c:pt idx="5">
                  <c:v>0.36178299999999997</c:v>
                </c:pt>
                <c:pt idx="6">
                  <c:v>0.41631333333333337</c:v>
                </c:pt>
                <c:pt idx="7">
                  <c:v>0.42316566666666666</c:v>
                </c:pt>
                <c:pt idx="8">
                  <c:v>0.40568433333333331</c:v>
                </c:pt>
                <c:pt idx="9">
                  <c:v>0.40746033333333331</c:v>
                </c:pt>
                <c:pt idx="10">
                  <c:v>0.43542699999999995</c:v>
                </c:pt>
                <c:pt idx="11">
                  <c:v>0.35961333333333334</c:v>
                </c:pt>
                <c:pt idx="12">
                  <c:v>0.38837499999999986</c:v>
                </c:pt>
                <c:pt idx="13">
                  <c:v>0.36988766666666673</c:v>
                </c:pt>
                <c:pt idx="14">
                  <c:v>0.39713299999999985</c:v>
                </c:pt>
                <c:pt idx="15">
                  <c:v>0.31703066666666663</c:v>
                </c:pt>
                <c:pt idx="16">
                  <c:v>0.30438999999999988</c:v>
                </c:pt>
                <c:pt idx="17">
                  <c:v>0.41852199999999984</c:v>
                </c:pt>
                <c:pt idx="18">
                  <c:v>0.52103366666666662</c:v>
                </c:pt>
                <c:pt idx="19">
                  <c:v>0.4632086666666666</c:v>
                </c:pt>
                <c:pt idx="20">
                  <c:v>0.37868133333333337</c:v>
                </c:pt>
                <c:pt idx="21">
                  <c:v>0.36494499999999996</c:v>
                </c:pt>
                <c:pt idx="22">
                  <c:v>0.33455799999999997</c:v>
                </c:pt>
                <c:pt idx="23">
                  <c:v>0.3560580000000001</c:v>
                </c:pt>
                <c:pt idx="24">
                  <c:v>0.38444600000000012</c:v>
                </c:pt>
                <c:pt idx="25">
                  <c:v>0.384274</c:v>
                </c:pt>
                <c:pt idx="26">
                  <c:v>0.36268366666666674</c:v>
                </c:pt>
                <c:pt idx="27">
                  <c:v>0.27436133333333335</c:v>
                </c:pt>
                <c:pt idx="28">
                  <c:v>0.31905799999999984</c:v>
                </c:pt>
                <c:pt idx="29">
                  <c:v>0.33879299999999984</c:v>
                </c:pt>
                <c:pt idx="30">
                  <c:v>0.38347799999999987</c:v>
                </c:pt>
                <c:pt idx="31">
                  <c:v>0.41234533333333334</c:v>
                </c:pt>
                <c:pt idx="32">
                  <c:v>0.39708033333333337</c:v>
                </c:pt>
                <c:pt idx="33">
                  <c:v>0.36837533333333333</c:v>
                </c:pt>
                <c:pt idx="34">
                  <c:v>0.26918733333333333</c:v>
                </c:pt>
                <c:pt idx="35">
                  <c:v>0.19342566666666675</c:v>
                </c:pt>
                <c:pt idx="36">
                  <c:v>0.144179</c:v>
                </c:pt>
                <c:pt idx="37">
                  <c:v>0.20560999999999999</c:v>
                </c:pt>
                <c:pt idx="38">
                  <c:v>0.19121266666666673</c:v>
                </c:pt>
                <c:pt idx="39">
                  <c:v>0.2479026666666666</c:v>
                </c:pt>
                <c:pt idx="40">
                  <c:v>0.23035766666666674</c:v>
                </c:pt>
                <c:pt idx="41">
                  <c:v>0.2644216666666665</c:v>
                </c:pt>
                <c:pt idx="42">
                  <c:v>0.19199733333333324</c:v>
                </c:pt>
                <c:pt idx="43">
                  <c:v>0.20627866666666672</c:v>
                </c:pt>
                <c:pt idx="44">
                  <c:v>0.23916566666666672</c:v>
                </c:pt>
                <c:pt idx="45">
                  <c:v>0.32277400000000001</c:v>
                </c:pt>
                <c:pt idx="46">
                  <c:v>0.31993433333333327</c:v>
                </c:pt>
                <c:pt idx="47">
                  <c:v>0.23397166666666674</c:v>
                </c:pt>
                <c:pt idx="48">
                  <c:v>0.19774266666666673</c:v>
                </c:pt>
                <c:pt idx="49">
                  <c:v>0.19655999999999998</c:v>
                </c:pt>
                <c:pt idx="50">
                  <c:v>0.22046666666666651</c:v>
                </c:pt>
                <c:pt idx="51">
                  <c:v>0.21322533333333324</c:v>
                </c:pt>
                <c:pt idx="52">
                  <c:v>0.21960366666666672</c:v>
                </c:pt>
                <c:pt idx="53">
                  <c:v>0.22989066666666674</c:v>
                </c:pt>
                <c:pt idx="54">
                  <c:v>0.24212999999999998</c:v>
                </c:pt>
                <c:pt idx="55">
                  <c:v>0.16786333333333325</c:v>
                </c:pt>
                <c:pt idx="56">
                  <c:v>0.129021</c:v>
                </c:pt>
                <c:pt idx="57">
                  <c:v>7.6388666666666508E-2</c:v>
                </c:pt>
                <c:pt idx="58">
                  <c:v>7.5265333333333254E-2</c:v>
                </c:pt>
                <c:pt idx="59">
                  <c:v>6.9059999999999996E-2</c:v>
                </c:pt>
                <c:pt idx="60">
                  <c:v>0.12694233333333324</c:v>
                </c:pt>
                <c:pt idx="61">
                  <c:v>0.10657733333333325</c:v>
                </c:pt>
                <c:pt idx="62">
                  <c:v>0.112468</c:v>
                </c:pt>
                <c:pt idx="63">
                  <c:v>3.3796333333333255E-2</c:v>
                </c:pt>
                <c:pt idx="64">
                  <c:v>6.6506333333333251E-2</c:v>
                </c:pt>
                <c:pt idx="65">
                  <c:v>8.7137999999999993E-2</c:v>
                </c:pt>
                <c:pt idx="66">
                  <c:v>0.12440466666666673</c:v>
                </c:pt>
                <c:pt idx="67">
                  <c:v>0.12701733333333348</c:v>
                </c:pt>
                <c:pt idx="68">
                  <c:v>0.15989899999999999</c:v>
                </c:pt>
                <c:pt idx="69">
                  <c:v>0.18254066666666674</c:v>
                </c:pt>
                <c:pt idx="70">
                  <c:v>0.22202566666666673</c:v>
                </c:pt>
                <c:pt idx="71">
                  <c:v>0.19201699999999999</c:v>
                </c:pt>
                <c:pt idx="72">
                  <c:v>0.170099</c:v>
                </c:pt>
              </c:numCache>
            </c:numRef>
          </c:val>
          <c:extLst>
            <c:ext xmlns:c16="http://schemas.microsoft.com/office/drawing/2014/chart" uri="{C3380CC4-5D6E-409C-BE32-E72D297353CC}">
              <c16:uniqueId val="{00000001-DC05-4597-9325-6EB54D7A67D3}"/>
            </c:ext>
          </c:extLst>
        </c:ser>
        <c:dLbls>
          <c:showLegendKey val="0"/>
          <c:showVal val="0"/>
          <c:showCatName val="0"/>
          <c:showSerName val="0"/>
          <c:showPercent val="0"/>
          <c:showBubbleSize val="0"/>
        </c:dLbls>
        <c:axId val="1183883663"/>
        <c:axId val="1182805759"/>
      </c:areaChart>
      <c:catAx>
        <c:axId val="11838836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805759"/>
        <c:crosses val="autoZero"/>
        <c:auto val="1"/>
        <c:lblAlgn val="ctr"/>
        <c:lblOffset val="100"/>
        <c:tickLblSkip val="12"/>
        <c:tickMarkSkip val="6"/>
        <c:noMultiLvlLbl val="1"/>
      </c:catAx>
      <c:valAx>
        <c:axId val="1182805759"/>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Barrels Per 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883663"/>
        <c:crossesAt val="1"/>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USCC">
  <a:themeElements>
    <a:clrScheme name="USCC">
      <a:dk1>
        <a:srgbClr val="000000"/>
      </a:dk1>
      <a:lt1>
        <a:sysClr val="window" lastClr="FFFFFF"/>
      </a:lt1>
      <a:dk2>
        <a:srgbClr val="005395"/>
      </a:dk2>
      <a:lt2>
        <a:srgbClr val="E8E8E8"/>
      </a:lt2>
      <a:accent1>
        <a:srgbClr val="DF8F2F"/>
      </a:accent1>
      <a:accent2>
        <a:srgbClr val="374457"/>
      </a:accent2>
      <a:accent3>
        <a:srgbClr val="F8F8F8"/>
      </a:accent3>
      <a:accent4>
        <a:srgbClr val="F8F8F8"/>
      </a:accent4>
      <a:accent5>
        <a:srgbClr val="F8F8F8"/>
      </a:accent5>
      <a:accent6>
        <a:srgbClr val="FFFFFF"/>
      </a:accent6>
      <a:hlink>
        <a:srgbClr val="005395"/>
      </a:hlink>
      <a:folHlink>
        <a:srgbClr val="005395"/>
      </a:folHlink>
    </a:clrScheme>
    <a:fontScheme name="USCC">
      <a:majorFont>
        <a:latin typeface="Sitka Display"/>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txDef>
      <a:spPr>
        <a:solidFill>
          <a:srgbClr val="E8ECF1"/>
        </a:solidFill>
      </a:spPr>
      <a:bodyPr wrap="square" lIns="228600" tIns="347472" rIns="228600" bIns="228600" rtlCol="0">
        <a:spAutoFit/>
      </a:bodyPr>
      <a:lstStyle/>
    </a:tx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6E2A7-6261-4869-B4C5-8B99FCCBF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USCC Issue Brief Template - September 2025</Template>
  <TotalTime>7</TotalTime>
  <Pages>10</Pages>
  <Words>2304</Words>
  <Characters>13138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Urban Institute</Company>
  <LinksUpToDate>false</LinksUpToDate>
  <CharactersWithSpaces>15412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Benton Gordon</dc:creator>
  <cp:keywords/>
  <dc:description>v.2025.1.0</dc:description>
  <cp:lastModifiedBy>Graham Ayres</cp:lastModifiedBy>
  <cp:revision>5</cp:revision>
  <cp:lastPrinted>2026-03-10T21:34:00Z</cp:lastPrinted>
  <dcterms:created xsi:type="dcterms:W3CDTF">2026-03-13T21:12:00Z</dcterms:created>
  <dcterms:modified xsi:type="dcterms:W3CDTF">2026-03-16T16:34:00Z</dcterms:modified>
</cp:coreProperties>
</file>